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9F" w:rsidRDefault="00064F9F">
      <w:pPr>
        <w:spacing w:after="0" w:line="360" w:lineRule="auto"/>
        <w:jc w:val="both"/>
        <w:outlineLvl w:val="1"/>
        <w:rPr>
          <w:rFonts w:ascii="Times New Roman" w:eastAsia="Times New Roman" w:hAnsi="Times New Roman"/>
          <w:b/>
          <w:bCs/>
          <w:sz w:val="24"/>
          <w:szCs w:val="24"/>
          <w:lang w:eastAsia="en-GB"/>
        </w:rPr>
      </w:pPr>
      <w:bookmarkStart w:id="0" w:name="_GoBack"/>
      <w:bookmarkEnd w:id="0"/>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A01281">
      <w:pPr>
        <w:spacing w:after="0" w:line="360" w:lineRule="auto"/>
        <w:jc w:val="center"/>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Naslov: Modeli podrške razvoju preduzetništva mladih u Nišu - neophodnost uvođenja preduzetništva u obrazovni sistem i modela finansijske podrške</w:t>
      </w: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A01281">
      <w:p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Sadržaj:</w:t>
      </w:r>
    </w:p>
    <w:p w:rsidR="00064F9F" w:rsidRDefault="00064F9F"/>
    <w:p w:rsidR="00064F9F" w:rsidRDefault="00064F9F">
      <w:pPr>
        <w:pStyle w:val="TOC3"/>
        <w:ind w:left="446"/>
        <w:rPr>
          <w:rFonts w:ascii="Calibri" w:eastAsia="Calibri" w:hAnsi="Calibri"/>
        </w:rPr>
      </w:pPr>
    </w:p>
    <w:p w:rsidR="00064F9F" w:rsidRDefault="00064F9F">
      <w:pPr>
        <w:pStyle w:val="TOC3"/>
        <w:ind w:left="446"/>
      </w:pPr>
    </w:p>
    <w:p w:rsidR="00064F9F" w:rsidRDefault="00A01281">
      <w:p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Sažetak........................................................</w:t>
      </w:r>
      <w:r>
        <w:rPr>
          <w:rFonts w:ascii="Times New Roman" w:eastAsia="Times New Roman" w:hAnsi="Times New Roman"/>
          <w:b/>
          <w:bCs/>
          <w:sz w:val="24"/>
          <w:szCs w:val="24"/>
          <w:lang w:eastAsia="en-GB"/>
        </w:rPr>
        <w:t>...................................................................................  3</w:t>
      </w:r>
    </w:p>
    <w:p w:rsidR="00064F9F" w:rsidRDefault="00A01281">
      <w:p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Uvod...............................................................................................................................................  5</w:t>
      </w:r>
    </w:p>
    <w:p w:rsidR="00064F9F" w:rsidRDefault="00A01281">
      <w:p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Opis problema.....</w:t>
      </w:r>
      <w:r>
        <w:rPr>
          <w:rFonts w:ascii="Times New Roman" w:eastAsia="Times New Roman" w:hAnsi="Times New Roman"/>
          <w:b/>
          <w:bCs/>
          <w:sz w:val="24"/>
          <w:szCs w:val="24"/>
          <w:lang w:eastAsia="en-GB"/>
        </w:rPr>
        <w:t>..........................................................................................................................  6</w:t>
      </w:r>
    </w:p>
    <w:p w:rsidR="00064F9F" w:rsidRDefault="00A01281">
      <w:p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Analiza i izbor rešenja za praktičnu politiku.............................................................................  7</w:t>
      </w:r>
    </w:p>
    <w:p w:rsidR="00064F9F" w:rsidRDefault="00A01281">
      <w:pPr>
        <w:pStyle w:val="ListParagraph"/>
        <w:numPr>
          <w:ilvl w:val="0"/>
          <w:numId w:val="9"/>
        </w:numPr>
        <w:spacing w:after="0" w:line="360" w:lineRule="auto"/>
        <w:jc w:val="both"/>
        <w:outlineLvl w:val="1"/>
        <w:rPr>
          <w:rFonts w:ascii="Times New Roman" w:eastAsia="Times New Roman" w:hAnsi="Times New Roman"/>
          <w:b/>
          <w:bCs/>
          <w:i/>
          <w:sz w:val="24"/>
          <w:szCs w:val="24"/>
          <w:lang w:eastAsia="en-GB"/>
        </w:rPr>
      </w:pPr>
      <w:r>
        <w:rPr>
          <w:rFonts w:ascii="Times New Roman" w:eastAsia="Times New Roman" w:hAnsi="Times New Roman"/>
          <w:b/>
          <w:bCs/>
          <w:i/>
          <w:sz w:val="24"/>
          <w:szCs w:val="24"/>
          <w:lang w:eastAsia="en-GB"/>
        </w:rPr>
        <w:t>obra</w:t>
      </w:r>
      <w:r>
        <w:rPr>
          <w:rFonts w:ascii="Times New Roman" w:eastAsia="Times New Roman" w:hAnsi="Times New Roman"/>
          <w:b/>
          <w:bCs/>
          <w:i/>
          <w:sz w:val="24"/>
          <w:szCs w:val="24"/>
          <w:lang w:eastAsia="en-GB"/>
        </w:rPr>
        <w:t>zovni sistem i preduzetništvo</w:t>
      </w:r>
      <w:r>
        <w:rPr>
          <w:rFonts w:ascii="Times New Roman" w:eastAsia="Times New Roman" w:hAnsi="Times New Roman"/>
          <w:b/>
          <w:bCs/>
          <w:sz w:val="24"/>
          <w:szCs w:val="24"/>
          <w:lang w:eastAsia="en-GB"/>
        </w:rPr>
        <w:t>......................................................................................10</w:t>
      </w:r>
    </w:p>
    <w:p w:rsidR="00064F9F" w:rsidRDefault="00A01281">
      <w:pPr>
        <w:pStyle w:val="ListParagraph"/>
        <w:numPr>
          <w:ilvl w:val="0"/>
          <w:numId w:val="9"/>
        </w:numPr>
        <w:spacing w:after="0" w:line="360" w:lineRule="auto"/>
        <w:jc w:val="both"/>
        <w:outlineLvl w:val="1"/>
        <w:rPr>
          <w:rFonts w:ascii="Times New Roman" w:eastAsia="Times New Roman" w:hAnsi="Times New Roman"/>
          <w:b/>
          <w:bCs/>
          <w:i/>
          <w:sz w:val="24"/>
          <w:szCs w:val="24"/>
          <w:lang w:eastAsia="en-GB"/>
        </w:rPr>
      </w:pPr>
      <w:r>
        <w:rPr>
          <w:rFonts w:ascii="Times New Roman" w:eastAsia="Times New Roman" w:hAnsi="Times New Roman"/>
          <w:b/>
          <w:bCs/>
          <w:i/>
          <w:sz w:val="24"/>
          <w:szCs w:val="24"/>
          <w:lang w:eastAsia="en-GB"/>
        </w:rPr>
        <w:t>dostupnost finansija i pristup kapitalu</w:t>
      </w:r>
      <w:r>
        <w:rPr>
          <w:rFonts w:ascii="Times New Roman" w:eastAsia="Times New Roman" w:hAnsi="Times New Roman"/>
          <w:b/>
          <w:bCs/>
          <w:sz w:val="24"/>
          <w:szCs w:val="24"/>
          <w:lang w:eastAsia="en-GB"/>
        </w:rPr>
        <w:t>.............................................................................13</w:t>
      </w:r>
    </w:p>
    <w:p w:rsidR="00064F9F" w:rsidRDefault="00A01281">
      <w:p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Zaključci i preporu</w:t>
      </w:r>
      <w:r>
        <w:rPr>
          <w:rFonts w:ascii="Times New Roman" w:eastAsia="Times New Roman" w:hAnsi="Times New Roman"/>
          <w:b/>
          <w:bCs/>
          <w:sz w:val="24"/>
          <w:szCs w:val="24"/>
          <w:lang w:eastAsia="en-GB"/>
        </w:rPr>
        <w:t>ke...................................................................................................................15</w:t>
      </w: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A01281">
      <w:p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Literatura.............................................................................................................................</w:t>
      </w:r>
      <w:r>
        <w:rPr>
          <w:rFonts w:ascii="Times New Roman" w:eastAsia="Times New Roman" w:hAnsi="Times New Roman"/>
          <w:b/>
          <w:bCs/>
          <w:sz w:val="24"/>
          <w:szCs w:val="24"/>
          <w:lang w:eastAsia="en-GB"/>
        </w:rPr>
        <w:t>.........19</w:t>
      </w:r>
    </w:p>
    <w:p w:rsidR="00064F9F" w:rsidRDefault="00064F9F">
      <w:pPr>
        <w:spacing w:after="0" w:line="360" w:lineRule="auto"/>
        <w:jc w:val="both"/>
        <w:outlineLvl w:val="1"/>
        <w:rPr>
          <w:rFonts w:ascii="Times New Roman" w:eastAsia="Times New Roman" w:hAnsi="Times New Roman"/>
          <w:b/>
          <w:bCs/>
          <w:i/>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A01281">
      <w:pPr>
        <w:pStyle w:val="TOCHeading"/>
        <w:spacing w:line="360" w:lineRule="auto"/>
        <w:rPr>
          <w:rFonts w:ascii="Times New Roman" w:eastAsia="Times New Roman" w:hAnsi="Times New Roman" w:cs="Times New Roman"/>
          <w:b/>
          <w:color w:val="auto"/>
          <w:sz w:val="28"/>
          <w:szCs w:val="28"/>
          <w:lang w:eastAsia="en-GB"/>
        </w:rPr>
      </w:pPr>
      <w:r>
        <w:rPr>
          <w:rFonts w:ascii="Times New Roman" w:eastAsia="Times New Roman" w:hAnsi="Times New Roman" w:cs="Times New Roman"/>
          <w:b/>
          <w:color w:val="auto"/>
          <w:sz w:val="28"/>
          <w:szCs w:val="28"/>
          <w:lang w:eastAsia="en-GB"/>
        </w:rPr>
        <w:lastRenderedPageBreak/>
        <w:t>Sažetak</w:t>
      </w:r>
    </w:p>
    <w:p w:rsidR="00064F9F" w:rsidRDefault="00064F9F">
      <w:pPr>
        <w:rPr>
          <w:lang w:eastAsia="en-GB"/>
        </w:rPr>
      </w:pP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Politike koje bi uticale na razvoj mehanizama finansiranja za preduzetnike, motivisanje mladih da se bave preduzetništvom i unapređenje njihovog znanja o preduzetništvu i pokretanju sopstvenog biznisa, kao i na razvoj </w:t>
      </w:r>
      <w:r>
        <w:rPr>
          <w:rFonts w:ascii="Times New Roman" w:eastAsia="Times New Roman" w:hAnsi="Times New Roman"/>
          <w:bCs/>
          <w:sz w:val="24"/>
          <w:szCs w:val="24"/>
          <w:lang w:eastAsia="en-GB"/>
        </w:rPr>
        <w:t>preduzetničke kulture u Srbiji, predstavljaju kombinaciju politika koje bi mogle da dovedu do ubrzavanja procesa ekonomskog razvoja, uključujući stvaranje radnih mesta, povećanje dohotka, uvođenje inovacija i kreiranje ekonomije zasnovane na znanju.</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Stope rasta srpske ekonomije su niske ili negativne još od 2008. godine, uz uočavanje većeg broja negativnih ekonomskih faktora. Neophodne strukturne reforme i prilagođavanja odlažu se dugi niz godina, a određeni pomaci desili su se tek od 2014. Pristup me</w:t>
      </w:r>
      <w:r>
        <w:rPr>
          <w:rFonts w:ascii="Times New Roman" w:eastAsia="Times New Roman" w:hAnsi="Times New Roman"/>
          <w:bCs/>
          <w:sz w:val="24"/>
          <w:szCs w:val="24"/>
          <w:lang w:eastAsia="en-GB"/>
        </w:rPr>
        <w:t xml:space="preserve">hanizmima finansiranja i kapitalu veoma je ograničen, posebno za sektor malih i srednjih preduzeća i preduzetnika. </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Obrazovni sistem koji treba da proizvodi konkurente i osposobljene kadrove za privredu nije u pravoj funkciji. Stavovi, vrednosti i praksa u</w:t>
      </w:r>
      <w:r>
        <w:rPr>
          <w:rFonts w:ascii="Times New Roman" w:eastAsia="Times New Roman" w:hAnsi="Times New Roman"/>
          <w:bCs/>
          <w:sz w:val="24"/>
          <w:szCs w:val="24"/>
          <w:lang w:eastAsia="en-GB"/>
        </w:rPr>
        <w:t xml:space="preserve"> vezi sa preduzetništvom ograničavajući su faktor, a odnos prema preduzetništvu je generalno negativan. Prvi put se država u 2016. godini strateški fokusira na razvoj preduzetništva i ovu godinu proglašava „Godinom preduzetništva“. </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Nezaposlenost mladih u </w:t>
      </w:r>
      <w:r>
        <w:rPr>
          <w:rFonts w:ascii="Times New Roman" w:eastAsia="Times New Roman" w:hAnsi="Times New Roman"/>
          <w:bCs/>
          <w:sz w:val="24"/>
          <w:szCs w:val="24"/>
          <w:lang w:eastAsia="en-GB"/>
        </w:rPr>
        <w:t xml:space="preserve">Srbiji je veliki problem. Opšta stopa nezaposlenosti se povećala u odnosu na poslednji kvartal 2015. godine i sada iznosi 19%, a u populaciji od 15 do 24 godine je izuzetno visoka i iznosi 44,2%. </w:t>
      </w:r>
    </w:p>
    <w:p w:rsidR="00064F9F" w:rsidRDefault="00064F9F">
      <w:pPr>
        <w:spacing w:after="0" w:line="360" w:lineRule="auto"/>
        <w:jc w:val="both"/>
        <w:outlineLvl w:val="1"/>
        <w:rPr>
          <w:rFonts w:ascii="Times New Roman" w:eastAsia="Times New Roman" w:hAnsi="Times New Roman"/>
          <w:bCs/>
          <w:sz w:val="24"/>
          <w:szCs w:val="24"/>
          <w:lang w:eastAsia="en-GB"/>
        </w:rPr>
      </w:pPr>
    </w:p>
    <w:p w:rsidR="00064F9F" w:rsidRDefault="00A01281">
      <w:p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Prikaz: Stopa nezaposlenosti u Srbiji u prvom kvartalu 201</w:t>
      </w:r>
      <w:r>
        <w:rPr>
          <w:rFonts w:ascii="Times New Roman" w:eastAsia="Times New Roman" w:hAnsi="Times New Roman"/>
          <w:b/>
          <w:bCs/>
          <w:sz w:val="24"/>
          <w:szCs w:val="24"/>
          <w:lang w:eastAsia="en-GB"/>
        </w:rPr>
        <w:t>6. godine</w:t>
      </w:r>
    </w:p>
    <w:p w:rsidR="00064F9F" w:rsidRDefault="00A01281">
      <w:pPr>
        <w:spacing w:after="0" w:line="360" w:lineRule="auto"/>
        <w:jc w:val="center"/>
        <w:outlineLvl w:val="1"/>
        <w:rPr>
          <w:rFonts w:ascii="Times New Roman" w:eastAsia="Times New Roman" w:hAnsi="Times New Roman"/>
          <w:bCs/>
          <w:sz w:val="24"/>
          <w:szCs w:val="24"/>
          <w:lang w:eastAsia="en-GB"/>
        </w:rPr>
      </w:pPr>
      <w:r>
        <w:rPr>
          <w:rFonts w:ascii="Times New Roman" w:eastAsia="Times New Roman" w:hAnsi="Times New Roman"/>
          <w:noProof/>
          <w:sz w:val="24"/>
          <w:szCs w:val="24"/>
        </w:rPr>
        <w:drawing>
          <wp:inline distT="0" distB="0" distL="114300" distR="114300">
            <wp:extent cx="2034539" cy="1691639"/>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eastAsia="Times New Roman" w:hAnsi="Times New Roman"/>
          <w:noProof/>
          <w:sz w:val="24"/>
          <w:szCs w:val="24"/>
        </w:rPr>
        <w:drawing>
          <wp:inline distT="0" distB="0" distL="114300" distR="114300">
            <wp:extent cx="1904999" cy="1691639"/>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eastAsia="Times New Roman" w:hAnsi="Times New Roman"/>
          <w:noProof/>
          <w:sz w:val="24"/>
          <w:szCs w:val="24"/>
        </w:rPr>
        <w:drawing>
          <wp:inline distT="0" distB="0" distL="114300" distR="114300">
            <wp:extent cx="1897380" cy="1691639"/>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A01281">
      <w:pPr>
        <w:spacing w:after="0" w:line="360" w:lineRule="auto"/>
        <w:jc w:val="both"/>
        <w:outlineLvl w:val="1"/>
        <w:rPr>
          <w:rFonts w:ascii="Times New Roman" w:hAnsi="Times New Roman"/>
          <w:sz w:val="24"/>
          <w:szCs w:val="24"/>
        </w:rPr>
      </w:pPr>
      <w:r>
        <w:rPr>
          <w:rFonts w:ascii="Times New Roman" w:hAnsi="Times New Roman"/>
          <w:sz w:val="24"/>
          <w:szCs w:val="24"/>
        </w:rPr>
        <w:lastRenderedPageBreak/>
        <w:t>Ovaj dokument se osvrće na postojeće politike i probleme, i daje preporuke za uvođenje mera koje mogu da imaju pozitivne efekte na razvoj, u tri ključne oblasti:</w:t>
      </w:r>
    </w:p>
    <w:p w:rsidR="00064F9F" w:rsidRDefault="00A01281">
      <w:pPr>
        <w:pStyle w:val="ListParagraph"/>
        <w:numPr>
          <w:ilvl w:val="0"/>
          <w:numId w:val="1"/>
        </w:numPr>
        <w:spacing w:after="0" w:line="360" w:lineRule="auto"/>
        <w:jc w:val="both"/>
        <w:outlineLvl w:val="1"/>
        <w:rPr>
          <w:rFonts w:ascii="Times New Roman" w:hAnsi="Times New Roman"/>
          <w:sz w:val="24"/>
          <w:szCs w:val="24"/>
        </w:rPr>
      </w:pPr>
      <w:r>
        <w:rPr>
          <w:rFonts w:ascii="Times New Roman" w:hAnsi="Times New Roman"/>
          <w:sz w:val="24"/>
          <w:szCs w:val="24"/>
        </w:rPr>
        <w:t>Odnos obrazovnog sistema i preduzetništva</w:t>
      </w:r>
    </w:p>
    <w:p w:rsidR="00064F9F" w:rsidRDefault="00A01281">
      <w:pPr>
        <w:pStyle w:val="ListParagraph"/>
        <w:numPr>
          <w:ilvl w:val="0"/>
          <w:numId w:val="1"/>
        </w:numPr>
        <w:spacing w:after="0" w:line="360" w:lineRule="auto"/>
        <w:jc w:val="both"/>
        <w:outlineLvl w:val="1"/>
        <w:rPr>
          <w:rFonts w:ascii="Times New Roman" w:hAnsi="Times New Roman"/>
          <w:sz w:val="24"/>
          <w:szCs w:val="24"/>
        </w:rPr>
      </w:pPr>
      <w:r>
        <w:rPr>
          <w:rFonts w:ascii="Times New Roman" w:hAnsi="Times New Roman"/>
          <w:sz w:val="24"/>
          <w:szCs w:val="24"/>
        </w:rPr>
        <w:t>Dostupnost finansija i pristup kapita</w:t>
      </w:r>
      <w:r>
        <w:rPr>
          <w:rFonts w:ascii="Times New Roman" w:hAnsi="Times New Roman"/>
          <w:sz w:val="24"/>
          <w:szCs w:val="24"/>
        </w:rPr>
        <w:t>lu – razvoj alternativnih modela finansiranja preduzetništva</w:t>
      </w:r>
    </w:p>
    <w:p w:rsidR="00064F9F" w:rsidRDefault="00A01281">
      <w:pPr>
        <w:pStyle w:val="ListParagraph"/>
        <w:numPr>
          <w:ilvl w:val="0"/>
          <w:numId w:val="1"/>
        </w:numPr>
        <w:spacing w:after="0" w:line="360" w:lineRule="auto"/>
        <w:jc w:val="both"/>
        <w:outlineLvl w:val="1"/>
        <w:rPr>
          <w:rFonts w:ascii="Times New Roman" w:hAnsi="Times New Roman"/>
          <w:sz w:val="24"/>
          <w:szCs w:val="24"/>
        </w:rPr>
      </w:pPr>
      <w:r>
        <w:rPr>
          <w:rFonts w:ascii="Times New Roman" w:hAnsi="Times New Roman"/>
          <w:sz w:val="24"/>
          <w:szCs w:val="24"/>
        </w:rPr>
        <w:t>Razvoj preduzetničke kulture i mehanizama za podršku preduzetničkom ekosistemu, koji se odnosi na potrebu za kolektivnim i sistemskim delovanjem u cilju podsticanja i razvoja preduzetništva.</w:t>
      </w:r>
    </w:p>
    <w:p w:rsidR="00064F9F" w:rsidRDefault="00A01281">
      <w:pPr>
        <w:spacing w:after="0" w:line="360" w:lineRule="auto"/>
        <w:jc w:val="both"/>
        <w:outlineLvl w:val="1"/>
        <w:rPr>
          <w:rFonts w:ascii="Times New Roman" w:hAnsi="Times New Roman"/>
          <w:sz w:val="24"/>
          <w:szCs w:val="24"/>
        </w:rPr>
      </w:pPr>
      <w:r>
        <w:rPr>
          <w:rFonts w:ascii="Times New Roman" w:hAnsi="Times New Roman"/>
          <w:sz w:val="24"/>
          <w:szCs w:val="24"/>
        </w:rPr>
        <w:t>Doku</w:t>
      </w:r>
      <w:r>
        <w:rPr>
          <w:rFonts w:ascii="Times New Roman" w:hAnsi="Times New Roman"/>
          <w:sz w:val="24"/>
          <w:szCs w:val="24"/>
        </w:rPr>
        <w:t xml:space="preserve">mentom će se definisati konkretne preporuke i modeli za unapređenje preduzetništva na lokalnom nivou, sa posebnim osvrtom na programe preduzetničkog obrazovanja tokom formalnog školovanja na svim obrazovnim nivoima. </w:t>
      </w:r>
    </w:p>
    <w:p w:rsidR="00064F9F" w:rsidRDefault="00A01281">
      <w:pPr>
        <w:spacing w:after="0" w:line="360" w:lineRule="auto"/>
        <w:jc w:val="both"/>
        <w:outlineLvl w:val="1"/>
        <w:rPr>
          <w:rFonts w:ascii="Times New Roman" w:hAnsi="Times New Roman"/>
          <w:sz w:val="24"/>
          <w:szCs w:val="24"/>
        </w:rPr>
      </w:pPr>
      <w:r>
        <w:rPr>
          <w:rFonts w:ascii="Times New Roman" w:hAnsi="Times New Roman"/>
          <w:sz w:val="24"/>
          <w:szCs w:val="24"/>
        </w:rPr>
        <w:t>Na osnovu podataka i analize trenutne s</w:t>
      </w:r>
      <w:r>
        <w:rPr>
          <w:rFonts w:ascii="Times New Roman" w:hAnsi="Times New Roman"/>
          <w:sz w:val="24"/>
          <w:szCs w:val="24"/>
        </w:rPr>
        <w:t xml:space="preserve">ituacije došli smo do zaključka da je neophodno formirati Fond za finansiranje preduzetničkih inicijativa, koji će pored konkretne finansijske podrške imati i savetodavnu ulogu u proceni tržišnih potreba i mogućnosti. </w:t>
      </w: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A01281">
      <w:pPr>
        <w:pStyle w:val="TOCHeading"/>
        <w:spacing w:line="360" w:lineRule="auto"/>
        <w:rPr>
          <w:rFonts w:ascii="Times New Roman" w:eastAsia="Times New Roman" w:hAnsi="Times New Roman" w:cs="Times New Roman"/>
          <w:b/>
          <w:color w:val="auto"/>
          <w:sz w:val="28"/>
          <w:szCs w:val="28"/>
          <w:lang w:eastAsia="en-GB"/>
        </w:rPr>
      </w:pPr>
      <w:r>
        <w:rPr>
          <w:rFonts w:ascii="Times New Roman" w:eastAsia="Times New Roman" w:hAnsi="Times New Roman" w:cs="Times New Roman"/>
          <w:b/>
          <w:color w:val="auto"/>
          <w:sz w:val="28"/>
          <w:szCs w:val="28"/>
          <w:lang w:eastAsia="en-GB"/>
        </w:rPr>
        <w:lastRenderedPageBreak/>
        <w:t>Uvod</w:t>
      </w:r>
    </w:p>
    <w:p w:rsidR="00064F9F" w:rsidRDefault="00064F9F">
      <w:pPr>
        <w:rPr>
          <w:lang w:eastAsia="en-GB"/>
        </w:rPr>
      </w:pP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Preduzetništvo </w:t>
      </w:r>
      <w:r>
        <w:rPr>
          <w:rFonts w:ascii="Times New Roman" w:eastAsia="Times New Roman" w:hAnsi="Times New Roman"/>
          <w:bCs/>
          <w:sz w:val="24"/>
          <w:szCs w:val="24"/>
          <w:lang w:eastAsia="en-GB"/>
        </w:rPr>
        <w:t>je stanje svesti. Preduzetništvo je mnogo više stav o životu nego veština ili profesija. Preduzetništvo je kad nekoliko godina živiš onako kako najveći broj ljudi ne želi, da bi ostatak života živeo onako kako najveći broj ljudi ne može!</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Najveći broj ekono</w:t>
      </w:r>
      <w:r>
        <w:rPr>
          <w:rFonts w:ascii="Times New Roman" w:hAnsi="Times New Roman"/>
          <w:sz w:val="24"/>
          <w:szCs w:val="24"/>
        </w:rPr>
        <w:t>mista slaže se da je preduzetništvo jedna od najvažnijih snaga razvoja društva. Preduzetništvo obezbeđuje ekonomski rast, otvara mogućnosti zapošljavanja i utiče na smanjenje siromaštva. Ipak, prema globalnom indeksu preduzetništva i razvoja (</w:t>
      </w:r>
      <w:hyperlink r:id="rId10" w:history="1">
        <w:r>
          <w:rPr>
            <w:rStyle w:val="Hyperlink"/>
            <w:rFonts w:ascii="Times New Roman" w:hAnsi="Times New Roman"/>
            <w:sz w:val="24"/>
            <w:szCs w:val="24"/>
          </w:rPr>
          <w:t>Global Entrepreneurship and Development Index</w:t>
        </w:r>
      </w:hyperlink>
      <w:r>
        <w:rPr>
          <w:rFonts w:ascii="Times New Roman" w:hAnsi="Times New Roman"/>
          <w:sz w:val="24"/>
          <w:szCs w:val="24"/>
        </w:rPr>
        <w:t xml:space="preserve"> – GEDI), koji meri tri glavne dimenzije razvoja preduzetništva (preduzetničke stavove, težnje i aktivnost), Srbija je u 2014. godini zauzimala tek 69 mesto od 121 države koje su obuhvaćene analizom. Preduzetništvo i preduzetnička kultura u Srbiji još uvek</w:t>
      </w:r>
      <w:r>
        <w:rPr>
          <w:rFonts w:ascii="Times New Roman" w:hAnsi="Times New Roman"/>
          <w:sz w:val="24"/>
          <w:szCs w:val="24"/>
        </w:rPr>
        <w:t xml:space="preserve"> nije u dovoljnoj meri prisutna.</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Posebno ranjiva kategorija, ali i najveći potencijal za razvoj preduzetništva su mladi. Mladi u Srbiji slabo su okrenuti preduzetničkoj kulturi i aktivizmu što je pokazalo nekoliko istraživanja.  Tako je istraživanje iz 201</w:t>
      </w:r>
      <w:r>
        <w:rPr>
          <w:rFonts w:ascii="Times New Roman" w:hAnsi="Times New Roman"/>
          <w:sz w:val="24"/>
          <w:szCs w:val="24"/>
        </w:rPr>
        <w:t xml:space="preserve">1. godine, koje su na uzorku 1.200 mladih (16-29) godina u 16 gradova i opština u Srbiji sproveli organizacija civilnog društva </w:t>
      </w:r>
      <w:hyperlink r:id="rId11" w:history="1">
        <w:r>
          <w:rPr>
            <w:rStyle w:val="Hyperlink"/>
            <w:rFonts w:ascii="Times New Roman" w:hAnsi="Times New Roman"/>
            <w:sz w:val="24"/>
            <w:szCs w:val="24"/>
          </w:rPr>
          <w:t>Građanske inicijative i Ministarstvo omladine i sporta Republike Srbije</w:t>
        </w:r>
      </w:hyperlink>
      <w:r>
        <w:rPr>
          <w:rFonts w:ascii="Times New Roman" w:hAnsi="Times New Roman"/>
          <w:sz w:val="24"/>
          <w:szCs w:val="24"/>
        </w:rPr>
        <w:t>, pokazalo da većina mladih u Srbiji nije motivisana da se bavi preduzetništvom i ne planira svoju profesionalnu karijeru u toj oblasti. Naime, 58% mladih istaklo je da ne planira p</w:t>
      </w:r>
      <w:r>
        <w:rPr>
          <w:rFonts w:ascii="Times New Roman" w:hAnsi="Times New Roman"/>
          <w:sz w:val="24"/>
          <w:szCs w:val="24"/>
        </w:rPr>
        <w:t>okretanje sopstvenog biznisa u narednih 5 godina, dok je samo 7% mladih to već uradilo.</w:t>
      </w:r>
    </w:p>
    <w:p w:rsidR="00064F9F" w:rsidRDefault="00A01281">
      <w:pPr>
        <w:spacing w:after="0" w:line="360" w:lineRule="auto"/>
        <w:jc w:val="both"/>
        <w:rPr>
          <w:rFonts w:ascii="Arial" w:eastAsia="Times New Roman" w:hAnsi="Arial" w:cs="Arial"/>
          <w:sz w:val="30"/>
          <w:szCs w:val="30"/>
        </w:rPr>
      </w:pPr>
      <w:r>
        <w:rPr>
          <w:rFonts w:ascii="Times New Roman" w:hAnsi="Times New Roman"/>
          <w:sz w:val="24"/>
          <w:szCs w:val="24"/>
        </w:rPr>
        <w:t xml:space="preserve">Do sličnih podataka došla je i organizacija Libertarijanski klub koja se, između ostalog, bavi i ekonomskim problemima mladih u istraživanju </w:t>
      </w:r>
      <w:hyperlink r:id="rId12" w:history="1">
        <w:r>
          <w:rPr>
            <w:rStyle w:val="Hyperlink"/>
            <w:rFonts w:ascii="Times New Roman" w:hAnsi="Times New Roman"/>
            <w:sz w:val="24"/>
            <w:szCs w:val="24"/>
          </w:rPr>
          <w:t>Preduzetnička kultura kod mladih</w:t>
        </w:r>
      </w:hyperlink>
      <w:r>
        <w:rPr>
          <w:rFonts w:ascii="Times New Roman" w:hAnsi="Times New Roman"/>
          <w:sz w:val="24"/>
          <w:szCs w:val="24"/>
        </w:rPr>
        <w:t xml:space="preserve"> iz 2015. godine na uzorku od 637 beogradskih studenata između 20 i 29 godina. Rezultati istraživanja pokazali su da 65% ispitanika ne planira da u naredne tri godine p</w:t>
      </w:r>
      <w:r>
        <w:rPr>
          <w:rFonts w:ascii="Times New Roman" w:hAnsi="Times New Roman"/>
          <w:sz w:val="24"/>
          <w:szCs w:val="24"/>
        </w:rPr>
        <w:t xml:space="preserve">okrene svoj biznis, a kao najznačajnije razloge navode </w:t>
      </w:r>
      <w:r>
        <w:rPr>
          <w:rFonts w:ascii="Times New Roman" w:eastAsia="Times New Roman" w:hAnsi="Times New Roman"/>
          <w:sz w:val="24"/>
          <w:szCs w:val="24"/>
        </w:rPr>
        <w:t>nedostatak početnog kapitala i loše uslove poslovanja.</w:t>
      </w:r>
    </w:p>
    <w:p w:rsidR="00064F9F" w:rsidRDefault="00A01281">
      <w:pPr>
        <w:spacing w:after="0"/>
        <w:jc w:val="both"/>
        <w:rPr>
          <w:rFonts w:ascii="Times New Roman" w:hAnsi="Times New Roman"/>
          <w:sz w:val="24"/>
          <w:szCs w:val="24"/>
        </w:rPr>
      </w:pPr>
      <w:r>
        <w:rPr>
          <w:rFonts w:ascii="Times New Roman" w:hAnsi="Times New Roman"/>
          <w:sz w:val="24"/>
          <w:szCs w:val="24"/>
        </w:rPr>
        <w:t xml:space="preserve">  </w:t>
      </w:r>
    </w:p>
    <w:p w:rsidR="00064F9F" w:rsidRDefault="00A01281">
      <w:pPr>
        <w:spacing w:after="0" w:line="360" w:lineRule="auto"/>
        <w:jc w:val="both"/>
        <w:outlineLvl w:val="1"/>
        <w:rPr>
          <w:rFonts w:ascii="Times New Roman" w:hAnsi="Times New Roman"/>
          <w:sz w:val="24"/>
          <w:szCs w:val="24"/>
        </w:rPr>
      </w:pPr>
      <w:r>
        <w:rPr>
          <w:rFonts w:ascii="Times New Roman" w:hAnsi="Times New Roman"/>
          <w:sz w:val="24"/>
          <w:szCs w:val="24"/>
        </w:rPr>
        <w:t>Ovaj dokument teži da dâ odgovore na pitanja na koji način donosioci odluka u Srbiji mogu da izvrše pozitivan uticaj na razvojni ciklus ekonomi</w:t>
      </w:r>
      <w:r>
        <w:rPr>
          <w:rFonts w:ascii="Times New Roman" w:hAnsi="Times New Roman"/>
          <w:sz w:val="24"/>
          <w:szCs w:val="24"/>
        </w:rPr>
        <w:t xml:space="preserve">je koji bi bio zasnovan na preduzetništvu i </w:t>
      </w:r>
      <w:r>
        <w:rPr>
          <w:rFonts w:ascii="Times New Roman" w:hAnsi="Times New Roman"/>
          <w:sz w:val="24"/>
          <w:szCs w:val="24"/>
        </w:rPr>
        <w:lastRenderedPageBreak/>
        <w:t>ljudima kao resursu. Cilj analize je kako kreirati okruženje u kome je olakšan pristup kapitalu i poslovnim prilikama, kako napraviti prave veze između preduzetništva i obrazovnog sistema i kako kreirati preduzet</w:t>
      </w:r>
      <w:r>
        <w:rPr>
          <w:rFonts w:ascii="Times New Roman" w:hAnsi="Times New Roman"/>
          <w:sz w:val="24"/>
          <w:szCs w:val="24"/>
        </w:rPr>
        <w:t xml:space="preserve">nički ekosistem podržan od države i privatnog sektora. </w:t>
      </w:r>
      <w:r>
        <w:rPr>
          <w:rFonts w:ascii="Times New Roman" w:hAnsi="Times New Roman"/>
          <w:sz w:val="24"/>
          <w:szCs w:val="24"/>
        </w:rPr>
        <w:br/>
        <w:t xml:space="preserve">Takođe, ovaj dokument daće predloge i preporuke sa ciljem kreiranja nove ekonomije zasnovane na znanju, tehnologijama i drugim savremenim trendovima globalizovanog ekonomskog sistema. </w:t>
      </w:r>
    </w:p>
    <w:p w:rsidR="00064F9F" w:rsidRDefault="00064F9F">
      <w:pPr>
        <w:spacing w:after="0" w:line="360" w:lineRule="auto"/>
        <w:jc w:val="both"/>
        <w:outlineLvl w:val="1"/>
        <w:rPr>
          <w:rFonts w:ascii="Times New Roman" w:hAnsi="Times New Roman"/>
          <w:sz w:val="24"/>
          <w:szCs w:val="24"/>
        </w:rPr>
      </w:pPr>
    </w:p>
    <w:p w:rsidR="00064F9F" w:rsidRDefault="00A01281">
      <w:pPr>
        <w:pStyle w:val="TOCHeading"/>
        <w:spacing w:before="0" w:line="360" w:lineRule="auto"/>
        <w:rPr>
          <w:rFonts w:ascii="Times New Roman" w:eastAsia="Times New Roman" w:hAnsi="Times New Roman" w:cs="Times New Roman"/>
          <w:b/>
          <w:color w:val="auto"/>
          <w:sz w:val="28"/>
          <w:szCs w:val="28"/>
          <w:lang w:eastAsia="en-GB"/>
        </w:rPr>
      </w:pPr>
      <w:r>
        <w:rPr>
          <w:rFonts w:ascii="Times New Roman" w:eastAsia="Times New Roman" w:hAnsi="Times New Roman" w:cs="Times New Roman"/>
          <w:b/>
          <w:color w:val="auto"/>
          <w:sz w:val="28"/>
          <w:szCs w:val="28"/>
          <w:lang w:eastAsia="en-GB"/>
        </w:rPr>
        <w:t xml:space="preserve">Opis problema </w:t>
      </w:r>
    </w:p>
    <w:p w:rsidR="00064F9F" w:rsidRDefault="00064F9F">
      <w:pPr>
        <w:spacing w:after="0"/>
        <w:rPr>
          <w:lang w:eastAsia="en-GB"/>
        </w:rPr>
      </w:pP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Država ne uspeva da generiše dovoljno novih radnih mesta, a posebno ne uspeva da podstakne procvat industrija sa visokim stopama rasta i profitabilnosti (IT, inovativne usluge, tehnologije), koje u razvijenim ekonomijama nose rast radnih mesta u privredi</w:t>
      </w:r>
      <w:r>
        <w:rPr>
          <w:rFonts w:ascii="Times New Roman" w:eastAsia="Times New Roman" w:hAnsi="Times New Roman"/>
          <w:bCs/>
          <w:sz w:val="24"/>
          <w:szCs w:val="24"/>
          <w:lang w:eastAsia="en-GB"/>
        </w:rPr>
        <w:t>. Kada se tome doda obrazovni sistem, koji mlade ne snabdeva preduzetničkim veštinama i koji nije usaglašen sa potrebama privrede, može se zaključiti da postojeći okviri politike zapošljavanja ne mogu imati adekvatne efekte.</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Značajan deo ekonomskog rasta m</w:t>
      </w:r>
      <w:r>
        <w:rPr>
          <w:rFonts w:ascii="Times New Roman" w:eastAsia="Times New Roman" w:hAnsi="Times New Roman"/>
          <w:bCs/>
          <w:sz w:val="24"/>
          <w:szCs w:val="24"/>
          <w:lang w:eastAsia="en-GB"/>
        </w:rPr>
        <w:t xml:space="preserve">nogih država u svetu, kao i uspešna borba sa problemom nezaposlenosti mladih, zasniva se na kreiranju i povezivanju različitih politika koje integrišu: </w:t>
      </w:r>
    </w:p>
    <w:p w:rsidR="00064F9F" w:rsidRDefault="00A01281">
      <w:pPr>
        <w:pStyle w:val="ListParagraph"/>
        <w:numPr>
          <w:ilvl w:val="0"/>
          <w:numId w:val="4"/>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razvoj modela finansiranja preduzetništva i unapređenja pristupa kapitalu,</w:t>
      </w:r>
    </w:p>
    <w:p w:rsidR="00064F9F" w:rsidRDefault="00A01281">
      <w:pPr>
        <w:pStyle w:val="ListParagraph"/>
        <w:numPr>
          <w:ilvl w:val="0"/>
          <w:numId w:val="4"/>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unapređenje preduzetničkog učenja i pokretanje/motivisanje mladih da započnu sopstveni biznis i </w:t>
      </w:r>
    </w:p>
    <w:p w:rsidR="00064F9F" w:rsidRDefault="00A01281">
      <w:pPr>
        <w:pStyle w:val="ListParagraph"/>
        <w:numPr>
          <w:ilvl w:val="0"/>
          <w:numId w:val="4"/>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kreiranje politika usmerenih na uspostavljanje održivih biznis modela.</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Savremene politike zasnivaju se na:</w:t>
      </w:r>
    </w:p>
    <w:p w:rsidR="00064F9F" w:rsidRDefault="00A01281">
      <w:pPr>
        <w:pStyle w:val="ListParagraph"/>
        <w:numPr>
          <w:ilvl w:val="0"/>
          <w:numId w:val="10"/>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uverenju da je preduzetništvo osnovni društveni resu</w:t>
      </w:r>
      <w:r>
        <w:rPr>
          <w:rFonts w:ascii="Times New Roman" w:eastAsia="Times New Roman" w:hAnsi="Times New Roman"/>
          <w:bCs/>
          <w:sz w:val="24"/>
          <w:szCs w:val="24"/>
          <w:lang w:eastAsia="en-GB"/>
        </w:rPr>
        <w:t>rs, i</w:t>
      </w:r>
    </w:p>
    <w:p w:rsidR="00064F9F" w:rsidRDefault="00A01281">
      <w:pPr>
        <w:pStyle w:val="ListParagraph"/>
        <w:numPr>
          <w:ilvl w:val="0"/>
          <w:numId w:val="10"/>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razvoju mehanizama i mera, koje obezbeđuju osnovni resurs – mlade ljude i optimalno upravljanje tim resursom.</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Zato je u društvu neophodno kontinuirano kreirati nove mere politike i mehanizme podrške, koji će mladima i drugim ciljnim grupama, kroz pokretanje sopstvenog održivog biznisa, omogućiti da ostvare ekonomsku sigurnost i nezavisnost. </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lastRenderedPageBreak/>
        <w:t>U skladu sa tim, jedan</w:t>
      </w:r>
      <w:r>
        <w:rPr>
          <w:rFonts w:ascii="Times New Roman" w:eastAsia="Times New Roman" w:hAnsi="Times New Roman"/>
          <w:bCs/>
          <w:sz w:val="24"/>
          <w:szCs w:val="24"/>
          <w:lang w:eastAsia="en-GB"/>
        </w:rPr>
        <w:t xml:space="preserve"> od glavnih problema u Srbiji je nivo opšte nezaposlenosti i nezaposlenosti mladih. Stopa opšte nezaposlenosti u prvom kvartalu 2016, prema podacima Republičkog zavoda za statistiku, u Srbiji iznosi 19%. </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Stopa nezaposlenosti mladih od 15 do 34 godina star</w:t>
      </w:r>
      <w:r>
        <w:rPr>
          <w:rFonts w:ascii="Times New Roman" w:eastAsia="Times New Roman" w:hAnsi="Times New Roman"/>
          <w:bCs/>
          <w:sz w:val="24"/>
          <w:szCs w:val="24"/>
          <w:lang w:eastAsia="en-GB"/>
        </w:rPr>
        <w:t xml:space="preserve">osti, kao vitalne baze preduzetništva,  u istom periodu iznosi 28,5%, sa tendencijom opadanja sa godinama života.  </w:t>
      </w:r>
    </w:p>
    <w:p w:rsidR="00064F9F" w:rsidRDefault="00064F9F">
      <w:pPr>
        <w:spacing w:after="0" w:line="360" w:lineRule="auto"/>
        <w:jc w:val="both"/>
        <w:outlineLvl w:val="1"/>
        <w:rPr>
          <w:rFonts w:ascii="Times New Roman" w:eastAsia="Times New Roman" w:hAnsi="Times New Roman"/>
          <w:bCs/>
          <w:sz w:val="24"/>
          <w:szCs w:val="24"/>
          <w:lang w:eastAsia="en-GB"/>
        </w:rPr>
      </w:pPr>
    </w:p>
    <w:p w:rsidR="00064F9F" w:rsidRDefault="00A01281">
      <w:p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Prikaz: Stope nezaposlenosti prema starosnim kategorijama i ukupno na nivou Republike Srbije u prvom kvartalu 2016. godine</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noProof/>
          <w:sz w:val="24"/>
          <w:szCs w:val="24"/>
        </w:rPr>
        <w:drawing>
          <wp:inline distT="0" distB="0" distL="114300" distR="114300">
            <wp:extent cx="5722620" cy="2080260"/>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Iz podataka se</w:t>
      </w:r>
      <w:r>
        <w:rPr>
          <w:rFonts w:ascii="Times New Roman" w:eastAsia="Times New Roman" w:hAnsi="Times New Roman"/>
          <w:bCs/>
          <w:sz w:val="24"/>
          <w:szCs w:val="24"/>
          <w:lang w:eastAsia="en-GB"/>
        </w:rPr>
        <w:t xml:space="preserve"> vidi da se mladi tek nakon svoje 30 godine bolje pozicioniraju na tržištu rada, ali se i dalje postavlja pitanje njihove ekonomske samostalnosti. Ekonomija u kojoj je toliko mladih bez adekvatne ekonomske sigurnosti podstiče degradaciju vrednosnog sistema</w:t>
      </w:r>
      <w:r>
        <w:rPr>
          <w:rFonts w:ascii="Times New Roman" w:eastAsia="Times New Roman" w:hAnsi="Times New Roman"/>
          <w:bCs/>
          <w:sz w:val="24"/>
          <w:szCs w:val="24"/>
          <w:lang w:eastAsia="en-GB"/>
        </w:rPr>
        <w:t xml:space="preserve">, razvoj brojnih negativnih pojava i obrazaca ponašanja. </w:t>
      </w:r>
    </w:p>
    <w:p w:rsidR="00064F9F" w:rsidRDefault="00064F9F">
      <w:pPr>
        <w:spacing w:after="0" w:line="360" w:lineRule="auto"/>
        <w:jc w:val="both"/>
        <w:outlineLvl w:val="1"/>
        <w:rPr>
          <w:rFonts w:ascii="Times New Roman" w:eastAsia="Times New Roman" w:hAnsi="Times New Roman"/>
          <w:bCs/>
          <w:sz w:val="24"/>
          <w:szCs w:val="24"/>
          <w:lang w:eastAsia="en-GB"/>
        </w:rPr>
      </w:pPr>
    </w:p>
    <w:p w:rsidR="00064F9F" w:rsidRDefault="00A01281">
      <w:pPr>
        <w:pStyle w:val="TOCHeading"/>
        <w:spacing w:before="0" w:line="360" w:lineRule="auto"/>
        <w:rPr>
          <w:rFonts w:ascii="Times New Roman" w:eastAsia="Times New Roman" w:hAnsi="Times New Roman" w:cs="Times New Roman"/>
          <w:b/>
          <w:color w:val="auto"/>
          <w:sz w:val="28"/>
          <w:szCs w:val="28"/>
          <w:lang w:eastAsia="en-GB"/>
        </w:rPr>
      </w:pPr>
      <w:r>
        <w:rPr>
          <w:rFonts w:ascii="Times New Roman" w:eastAsia="Times New Roman" w:hAnsi="Times New Roman" w:cs="Times New Roman"/>
          <w:b/>
          <w:color w:val="auto"/>
          <w:sz w:val="28"/>
          <w:szCs w:val="28"/>
          <w:lang w:eastAsia="en-GB"/>
        </w:rPr>
        <w:t>Analiza i izbor rešenja za praktičnu politiku</w:t>
      </w:r>
    </w:p>
    <w:p w:rsidR="00064F9F" w:rsidRDefault="00064F9F">
      <w:pPr>
        <w:spacing w:after="0" w:line="360" w:lineRule="auto"/>
        <w:jc w:val="center"/>
        <w:outlineLvl w:val="1"/>
        <w:rPr>
          <w:rFonts w:ascii="Times New Roman" w:eastAsia="Times New Roman" w:hAnsi="Times New Roman"/>
          <w:b/>
          <w:bCs/>
          <w:sz w:val="24"/>
          <w:szCs w:val="24"/>
          <w:lang w:eastAsia="en-GB"/>
        </w:rPr>
      </w:pP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Suočavamo se sa činjenicom da većina mladih ljudi ne može jasno da kaže šta je za njih preduzetništvo u Srbiji, a da u osnovu nemaju negativnu konotac</w:t>
      </w:r>
      <w:r>
        <w:rPr>
          <w:rFonts w:ascii="Times New Roman" w:hAnsi="Times New Roman"/>
          <w:sz w:val="24"/>
          <w:szCs w:val="24"/>
        </w:rPr>
        <w:t xml:space="preserve">iju. Većina polazi od toga šta je preduzetništvo u svojoj definiciji. Ono što je neophodno istaći je da odgovor leži u svakom pojedincu, preduzetniku, u njegovoj glavi, svesti, mislima, delovanju, osećanjima. Preduzetnik </w:t>
      </w:r>
      <w:r>
        <w:rPr>
          <w:rFonts w:ascii="Times New Roman" w:hAnsi="Times New Roman"/>
          <w:sz w:val="24"/>
          <w:szCs w:val="24"/>
        </w:rPr>
        <w:lastRenderedPageBreak/>
        <w:t>nije samo vredan i hrabar radnik. P</w:t>
      </w:r>
      <w:r>
        <w:rPr>
          <w:rFonts w:ascii="Times New Roman" w:hAnsi="Times New Roman"/>
          <w:sz w:val="24"/>
          <w:szCs w:val="24"/>
        </w:rPr>
        <w:t xml:space="preserve">reduzetnik je lider. Jer da bi realizovao svoje ciljeve on mora da pokreće ljude, pronalazi resurse i da bude vešt.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 xml:space="preserve">Zato je neophodno uvoditi više programa neformalnog obrazovanja tokom procesa formalnog učenja. Kao primer dobre prakse možemo da navedemo </w:t>
      </w:r>
      <w:r>
        <w:rPr>
          <w:rFonts w:ascii="Times New Roman" w:hAnsi="Times New Roman"/>
          <w:sz w:val="24"/>
          <w:szCs w:val="24"/>
        </w:rPr>
        <w:t xml:space="preserve">inovativan program - </w:t>
      </w:r>
      <w:hyperlink r:id="rId14" w:history="1">
        <w:r>
          <w:rPr>
            <w:rStyle w:val="Hyperlink"/>
            <w:rFonts w:ascii="Times New Roman" w:hAnsi="Times New Roman"/>
            <w:sz w:val="24"/>
            <w:szCs w:val="24"/>
          </w:rPr>
          <w:t>Academic To Business</w:t>
        </w:r>
      </w:hyperlink>
      <w:r>
        <w:rPr>
          <w:rFonts w:ascii="Times New Roman" w:hAnsi="Times New Roman"/>
          <w:sz w:val="24"/>
          <w:szCs w:val="24"/>
        </w:rPr>
        <w:t>. Program ima za cilj sinergiju аkаdemske i preduzetničke zajednice čime se dobija mogućnost za stva</w:t>
      </w:r>
      <w:r>
        <w:rPr>
          <w:rFonts w:ascii="Times New Roman" w:hAnsi="Times New Roman"/>
          <w:sz w:val="24"/>
          <w:szCs w:val="24"/>
        </w:rPr>
        <w:t xml:space="preserve">ranje novih poslovnih modela i inovativnih praksi, koji istovremeno motivišu mlаde da se bave preduzetništvom i unapređuju poslovno okruženje. </w:t>
      </w:r>
    </w:p>
    <w:p w:rsidR="00064F9F" w:rsidRDefault="00064F9F">
      <w:pPr>
        <w:spacing w:after="0" w:line="360" w:lineRule="auto"/>
        <w:jc w:val="both"/>
        <w:rPr>
          <w:rFonts w:ascii="Times New Roman" w:hAnsi="Times New Roman"/>
          <w:sz w:val="24"/>
          <w:szCs w:val="24"/>
        </w:rPr>
      </w:pP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Učešćem u programu „A2B“ studenti imaju priliku da:</w:t>
      </w:r>
    </w:p>
    <w:p w:rsidR="00064F9F" w:rsidRDefault="00A0128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znanje stečeno na fakultetu primene u praksi, </w:t>
      </w:r>
    </w:p>
    <w:p w:rsidR="00064F9F" w:rsidRDefault="00A0128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upoznaju i </w:t>
      </w:r>
      <w:r>
        <w:rPr>
          <w:rFonts w:ascii="Times New Roman" w:hAnsi="Times New Roman"/>
          <w:sz w:val="24"/>
          <w:szCs w:val="24"/>
        </w:rPr>
        <w:t>analiziraju realne probleme preduzeća,</w:t>
      </w:r>
    </w:p>
    <w:p w:rsidR="00064F9F" w:rsidRDefault="00A0128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razviju kritički način razmišljanja, </w:t>
      </w:r>
    </w:p>
    <w:p w:rsidR="00064F9F" w:rsidRDefault="00A0128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razmene ideje, veštine i iskustvo rada u timu, </w:t>
      </w:r>
    </w:p>
    <w:p w:rsidR="00064F9F" w:rsidRDefault="00A0128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unaprede veštine prezentovanja ideje, i</w:t>
      </w:r>
    </w:p>
    <w:p w:rsidR="00064F9F" w:rsidRDefault="00A0128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razviju zdrav takmičarski duh.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Preduzetnici imaju priliku da:</w:t>
      </w:r>
    </w:p>
    <w:p w:rsidR="00064F9F" w:rsidRDefault="00A01281">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steknu uvid u drugačiji pristup u prevazilaženju poslovnih izazova, </w:t>
      </w:r>
    </w:p>
    <w:p w:rsidR="00064F9F" w:rsidRDefault="00A01281">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dobiju nova, moderna, originalna rešenja za unapređenje svog poslovanja, i </w:t>
      </w:r>
    </w:p>
    <w:p w:rsidR="00064F9F" w:rsidRDefault="00A01281">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postanu konkurentniji u svojoj oblasti rada.</w:t>
      </w:r>
    </w:p>
    <w:p w:rsidR="00064F9F" w:rsidRDefault="00064F9F">
      <w:pPr>
        <w:spacing w:after="0" w:line="360" w:lineRule="auto"/>
        <w:jc w:val="both"/>
        <w:rPr>
          <w:rFonts w:ascii="Times New Roman" w:hAnsi="Times New Roman"/>
          <w:sz w:val="24"/>
          <w:szCs w:val="24"/>
        </w:rPr>
      </w:pP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Praksa svih projekata/programa koje tim Centra za razvoj liderstv</w:t>
      </w:r>
      <w:r>
        <w:rPr>
          <w:rFonts w:ascii="Times New Roman" w:hAnsi="Times New Roman"/>
          <w:sz w:val="24"/>
          <w:szCs w:val="24"/>
        </w:rPr>
        <w:t>a sprovodi od 2005. godine pokazuje da je, kada se mladima ponude adekvatni modeli dodatne edukacije u okviru kojih mogu da steknu znanja i veštine iz različitih oblasti, bez obzira na buduće profesionalno usmerenje, njihovo interesovanje za učešće u takvi</w:t>
      </w:r>
      <w:r>
        <w:rPr>
          <w:rFonts w:ascii="Times New Roman" w:hAnsi="Times New Roman"/>
          <w:sz w:val="24"/>
          <w:szCs w:val="24"/>
        </w:rPr>
        <w:t xml:space="preserve">m programima izraženo. Ovo se posebno odnosi na veštine koje se tiču preduzetništva, jer mladi ljudi koji su pri kraju studija prošli kroz ovakve programe, lakše se odlučuju da osnuju sopstveni biznis ili da nastave porodični. Pozitivan odnos mladih prema </w:t>
      </w:r>
      <w:r>
        <w:rPr>
          <w:rFonts w:ascii="Times New Roman" w:hAnsi="Times New Roman"/>
          <w:sz w:val="24"/>
          <w:szCs w:val="24"/>
        </w:rPr>
        <w:t xml:space="preserve">preduzetništvu pokazuju stavovi aplikanata na Academic To Business programe u 2015. i 2016. godini. Svi kandidati iz 2016. godine, njih 146, imaju izraženo pozitivan stav prema </w:t>
      </w:r>
      <w:r>
        <w:rPr>
          <w:rFonts w:ascii="Times New Roman" w:hAnsi="Times New Roman"/>
          <w:sz w:val="24"/>
          <w:szCs w:val="24"/>
        </w:rPr>
        <w:lastRenderedPageBreak/>
        <w:t>sopstvenom biznisu, odnosno preduzetništvu. Prilikom apliciranja studenti su ra</w:t>
      </w:r>
      <w:r>
        <w:rPr>
          <w:rFonts w:ascii="Times New Roman" w:hAnsi="Times New Roman"/>
          <w:sz w:val="24"/>
          <w:szCs w:val="24"/>
        </w:rPr>
        <w:t xml:space="preserve">ngirali prema interesovanju, sledeće oblasti rada: državna uprava, lokalna samouprava, institucije i javna preduzeća, organizacije civilnog društva, akademski i naučni rad, sopstveni biznis/preduzetništvo i korporativni sektor.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U rangiranju navedenih obla</w:t>
      </w:r>
      <w:r>
        <w:rPr>
          <w:rFonts w:ascii="Times New Roman" w:hAnsi="Times New Roman"/>
          <w:sz w:val="24"/>
          <w:szCs w:val="24"/>
        </w:rPr>
        <w:t xml:space="preserve">sti u kojima bi nakon završenog fakulteta želeli da se poslovno ostvare, 84,2% studenata, uzrasta od 22 do 27 godina, sopstveni biznis stavlja na prvu ili drugu poziciju.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Niko od 146 studenata sopstveni biznis nije stavio na poslednju poziciju. Dok sa dru</w:t>
      </w:r>
      <w:r>
        <w:rPr>
          <w:rFonts w:ascii="Times New Roman" w:hAnsi="Times New Roman"/>
          <w:sz w:val="24"/>
          <w:szCs w:val="24"/>
        </w:rPr>
        <w:t xml:space="preserve">ge strane, rad u lokalnoj samoupravi na prva dva mesta stavlja svega 4 studenta, odnosno 2,8%. </w:t>
      </w:r>
    </w:p>
    <w:p w:rsidR="00064F9F" w:rsidRDefault="00064F9F">
      <w:pPr>
        <w:spacing w:after="0" w:line="360" w:lineRule="auto"/>
        <w:jc w:val="both"/>
        <w:rPr>
          <w:rFonts w:ascii="Times New Roman" w:hAnsi="Times New Roman"/>
          <w:sz w:val="24"/>
          <w:szCs w:val="24"/>
        </w:rPr>
      </w:pP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Više od polovine studenata (55,5%) sopstveni biznis vidi kao najpoželjniju oblast rada. Korporativni sektor na prvo i drugo mesto stavlja 58,2%, a 23,3% kao pr</w:t>
      </w:r>
      <w:r>
        <w:rPr>
          <w:rFonts w:ascii="Times New Roman" w:hAnsi="Times New Roman"/>
          <w:sz w:val="24"/>
          <w:szCs w:val="24"/>
        </w:rPr>
        <w:t>vu oblast po interesovanju. Dakle, odmah iza preduzetništva, nalazi se korporativni sektor kao izbor prioriteta. Na trećem mestu je akademski rad koji na prvu ili drugu poziciju stavlja 22,6% studenata.</w:t>
      </w:r>
    </w:p>
    <w:p w:rsidR="00064F9F" w:rsidRDefault="00064F9F">
      <w:pPr>
        <w:spacing w:after="0" w:line="360" w:lineRule="auto"/>
        <w:jc w:val="both"/>
        <w:rPr>
          <w:rFonts w:ascii="Times New Roman" w:hAnsi="Times New Roman"/>
          <w:sz w:val="24"/>
          <w:szCs w:val="24"/>
        </w:rPr>
      </w:pPr>
    </w:p>
    <w:p w:rsidR="00064F9F" w:rsidRDefault="00A01281">
      <w:pPr>
        <w:spacing w:after="0" w:line="360" w:lineRule="auto"/>
        <w:jc w:val="both"/>
        <w:rPr>
          <w:rFonts w:ascii="Times New Roman" w:hAnsi="Times New Roman"/>
          <w:b/>
          <w:sz w:val="24"/>
          <w:szCs w:val="24"/>
        </w:rPr>
      </w:pPr>
      <w:r>
        <w:rPr>
          <w:rFonts w:ascii="Times New Roman" w:hAnsi="Times New Roman"/>
          <w:b/>
          <w:sz w:val="24"/>
          <w:szCs w:val="24"/>
        </w:rPr>
        <w:t>Prikaz: Procenat studenata koji rangiraju najpoželjn</w:t>
      </w:r>
      <w:r>
        <w:rPr>
          <w:rFonts w:ascii="Times New Roman" w:hAnsi="Times New Roman"/>
          <w:b/>
          <w:sz w:val="24"/>
          <w:szCs w:val="24"/>
        </w:rPr>
        <w:t>iju oblast rada na prvo, odnosno drugo mesto</w:t>
      </w:r>
    </w:p>
    <w:p w:rsidR="00064F9F" w:rsidRDefault="00A01281">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114300" distR="114300">
            <wp:extent cx="5897880" cy="2720340"/>
            <wp:effectExtent l="0" t="0" r="0" b="0"/>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4F9F" w:rsidRDefault="00064F9F">
      <w:pPr>
        <w:spacing w:after="0" w:line="360" w:lineRule="auto"/>
        <w:jc w:val="both"/>
        <w:rPr>
          <w:rFonts w:ascii="Times New Roman" w:hAnsi="Times New Roman"/>
          <w:sz w:val="24"/>
          <w:szCs w:val="24"/>
        </w:rPr>
      </w:pP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Kad je reč o polnoj strukturi, muškarci češće preduzetništvo rangiraju kao prvo ili drugo izabranu oblast (63,9%), u odnosu na 44,4% devojaka.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Oblast državne uprave ni jedan muškarac ne stavlja na prvu pozic</w:t>
      </w:r>
      <w:r>
        <w:rPr>
          <w:rFonts w:ascii="Times New Roman" w:hAnsi="Times New Roman"/>
          <w:sz w:val="24"/>
          <w:szCs w:val="24"/>
        </w:rPr>
        <w:t>iju, a samo 5 devojaka ili 7,9%.</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 xml:space="preserve">Gotovo polovina muškaraca stavlja državnu upravu na poslednja dva mesta prilikom rangiranja, dok to čini oko trećine žena.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 xml:space="preserve">Interesantno je i da su tri studenta dodala freelance kao prioritetnu oblast rada.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Iako su student</w:t>
      </w:r>
      <w:r>
        <w:rPr>
          <w:rFonts w:ascii="Times New Roman" w:hAnsi="Times New Roman"/>
          <w:sz w:val="24"/>
          <w:szCs w:val="24"/>
        </w:rPr>
        <w:t>i jasno opredeljeni za preduzetničko poslovanje, nisu u stanju da odgovore koja bi to oblast preduzetničkog poslovanja bila, dakle, ne poznaju tržišne prilike i mogućnosti, kao ni zakonske regulative i obaveze koje preduzetnik mora da ispuni.</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Razlog ovome leži u nedostatku mogućnosti za sticanjem preduzetničkog obrazovanja i veština. Jer veštine koje se tiču struke ne moraju, a praksa sve više pokazuje da nisu, ključne da bi se postao uspešni preduzetnik. Dakle, jedna od politika bi morala da o</w:t>
      </w:r>
      <w:r>
        <w:rPr>
          <w:rFonts w:ascii="Times New Roman" w:hAnsi="Times New Roman"/>
          <w:sz w:val="24"/>
          <w:szCs w:val="24"/>
        </w:rPr>
        <w:t xml:space="preserve">dgovori na sledeći zahtev: </w:t>
      </w:r>
    </w:p>
    <w:p w:rsidR="00064F9F" w:rsidRDefault="00A01281">
      <w:pPr>
        <w:pStyle w:val="ListParagraph"/>
        <w:numPr>
          <w:ilvl w:val="0"/>
          <w:numId w:val="8"/>
        </w:numPr>
        <w:spacing w:after="0" w:line="360" w:lineRule="auto"/>
        <w:jc w:val="both"/>
        <w:rPr>
          <w:rFonts w:ascii="Times New Roman" w:hAnsi="Times New Roman"/>
          <w:b/>
          <w:i/>
          <w:sz w:val="24"/>
          <w:szCs w:val="24"/>
        </w:rPr>
      </w:pPr>
      <w:r>
        <w:rPr>
          <w:noProof/>
          <w:lang w:val="en-GB" w:eastAsia="en-GB"/>
        </w:rPr>
        <w:pict>
          <v:shapetype id="_x0000_t202" coordsize="21600,21600" o:spt="202" path="m,l,21600r21600,l21600,xe">
            <v:stroke joinstyle="miter"/>
            <v:path gradientshapeok="t" o:connecttype="rect"/>
          </v:shapetype>
          <v:shape id="1037" o:spid="_x0000_s1027" type="#_x0000_t202" style="position:absolute;left:0;text-align:left;margin-left:5.4pt;margin-top:37.95pt;width:458.35pt;height:178.2pt;z-index:3;visibility:visible;mso-width-percent:0;mso-height-percent:0;mso-wrap-distance-top:3.6pt;mso-wrap-distance-bottom:3.6pt;mso-position-horizontal-relative:margin;mso-position-vertical-relative:text;mso-width-percent:0;mso-height-percent:0;mso-width-relative:margin;mso-height-relative:margin" fillcolor="#a8d08d" strokecolor="red" strokeweight="1.5pt">
            <v:shadow on="t" color="black" opacity="26214f" origin=".5,.5" offset="-.74836mm,-.74836mm"/>
            <v:textbox>
              <w:txbxContent>
                <w:p w:rsidR="00064F9F" w:rsidRDefault="00A01281">
                  <w:pPr>
                    <w:spacing w:after="0" w:line="240" w:lineRule="auto"/>
                    <w:jc w:val="both"/>
                    <w:rPr>
                      <w:rFonts w:ascii="Times New Roman" w:hAnsi="Times New Roman"/>
                      <w:sz w:val="20"/>
                      <w:szCs w:val="20"/>
                    </w:rPr>
                  </w:pPr>
                  <w:r>
                    <w:rPr>
                      <w:rFonts w:ascii="Times New Roman" w:hAnsi="Times New Roman"/>
                      <w:sz w:val="20"/>
                      <w:szCs w:val="20"/>
                    </w:rPr>
                    <w:t>Uspešan preduzetnik mora da poseduje spoj različitih veština. Profesionalne veštine, veštine koje se tiču struke, nisu dovoljne za definisanje uspešnog preduzetnika. Da bi ostvarivao svoje ciljeve, potrebno je da poseduje kv</w:t>
                  </w:r>
                  <w:r>
                    <w:rPr>
                      <w:rFonts w:ascii="Times New Roman" w:hAnsi="Times New Roman"/>
                      <w:sz w:val="20"/>
                      <w:szCs w:val="20"/>
                    </w:rPr>
                    <w:t xml:space="preserve">alitete kao što su kreativnost, istrajnost u teškim trenucima, sposobnost da izgradi dobar tim i sl. Ključne 4 kategorije veština: lične osobine, interpersonalne veštine, kritičko i kreativno razmišljanje, i praktične veštine. </w:t>
                  </w:r>
                </w:p>
                <w:p w:rsidR="00064F9F" w:rsidRDefault="00064F9F">
                  <w:pPr>
                    <w:spacing w:after="0" w:line="24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ook w:val="04A0" w:firstRow="1" w:lastRow="0" w:firstColumn="1" w:lastColumn="0" w:noHBand="0" w:noVBand="1"/>
                  </w:tblPr>
                  <w:tblGrid>
                    <w:gridCol w:w="2354"/>
                    <w:gridCol w:w="2167"/>
                    <w:gridCol w:w="2163"/>
                    <w:gridCol w:w="2155"/>
                  </w:tblGrid>
                  <w:tr w:rsidR="00064F9F">
                    <w:trPr>
                      <w:jc w:val="center"/>
                    </w:trPr>
                    <w:tc>
                      <w:tcPr>
                        <w:tcW w:w="2426" w:type="dxa"/>
                        <w:shd w:val="clear" w:color="auto" w:fill="C5E0B3"/>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Lične osobine</w:t>
                        </w:r>
                      </w:p>
                    </w:tc>
                    <w:tc>
                      <w:tcPr>
                        <w:tcW w:w="2212" w:type="dxa"/>
                        <w:shd w:val="clear" w:color="auto" w:fill="C5E0B3"/>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Interpersonal</w:t>
                        </w:r>
                        <w:r>
                          <w:rPr>
                            <w:rFonts w:ascii="Times New Roman" w:hAnsi="Times New Roman"/>
                            <w:sz w:val="20"/>
                            <w:szCs w:val="20"/>
                          </w:rPr>
                          <w:t>ne veštine</w:t>
                        </w:r>
                      </w:p>
                    </w:tc>
                    <w:tc>
                      <w:tcPr>
                        <w:tcW w:w="2212" w:type="dxa"/>
                        <w:shd w:val="clear" w:color="auto" w:fill="C5E0B3"/>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Kritičko i kreativno razmišljanje</w:t>
                        </w:r>
                      </w:p>
                    </w:tc>
                    <w:tc>
                      <w:tcPr>
                        <w:tcW w:w="2212" w:type="dxa"/>
                        <w:shd w:val="clear" w:color="auto" w:fill="C5E0B3"/>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Praktične veštine</w:t>
                        </w:r>
                      </w:p>
                    </w:tc>
                  </w:tr>
                  <w:tr w:rsidR="00064F9F">
                    <w:trPr>
                      <w:jc w:val="center"/>
                    </w:trPr>
                    <w:tc>
                      <w:tcPr>
                        <w:tcW w:w="2426"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Optimizam</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Liderstvo i motivacija</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Kreativnost</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Planiranje</w:t>
                        </w:r>
                      </w:p>
                    </w:tc>
                  </w:tr>
                  <w:tr w:rsidR="00064F9F">
                    <w:trPr>
                      <w:jc w:val="center"/>
                    </w:trPr>
                    <w:tc>
                      <w:tcPr>
                        <w:tcW w:w="2426"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Vizija</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Komunikacija</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Analitičnost</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Postavljenje ciljeva</w:t>
                        </w:r>
                      </w:p>
                    </w:tc>
                  </w:tr>
                  <w:tr w:rsidR="00064F9F">
                    <w:trPr>
                      <w:jc w:val="center"/>
                    </w:trPr>
                    <w:tc>
                      <w:tcPr>
                        <w:tcW w:w="2426"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Inicijativa</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Pregovaranje</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Rešavanje problema</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Organizacija aktivnosti</w:t>
                        </w:r>
                      </w:p>
                    </w:tc>
                  </w:tr>
                  <w:tr w:rsidR="00064F9F">
                    <w:trPr>
                      <w:jc w:val="center"/>
                    </w:trPr>
                    <w:tc>
                      <w:tcPr>
                        <w:tcW w:w="2426"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Energičnost</w:t>
                        </w:r>
                        <w:r>
                          <w:rPr>
                            <w:rFonts w:ascii="Times New Roman" w:hAnsi="Times New Roman"/>
                            <w:sz w:val="20"/>
                            <w:szCs w:val="20"/>
                          </w:rPr>
                          <w:t xml:space="preserve"> i istrajnost</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Etičnost</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Prepoznavanje prilika</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Delegiranje</w:t>
                        </w:r>
                      </w:p>
                    </w:tc>
                  </w:tr>
                  <w:tr w:rsidR="00064F9F">
                    <w:trPr>
                      <w:jc w:val="center"/>
                    </w:trPr>
                    <w:tc>
                      <w:tcPr>
                        <w:tcW w:w="2426"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Tolerancija rizika</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Dobri međuljudski odnosi</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Prepoznavanje rizika</w:t>
                        </w:r>
                      </w:p>
                    </w:tc>
                    <w:tc>
                      <w:tcPr>
                        <w:tcW w:w="2212" w:type="dxa"/>
                        <w:shd w:val="clear" w:color="auto" w:fill="E2EFD9"/>
                        <w:vAlign w:val="center"/>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Koordinacija tima</w:t>
                        </w:r>
                      </w:p>
                    </w:tc>
                  </w:tr>
                  <w:tr w:rsidR="00064F9F">
                    <w:trPr>
                      <w:jc w:val="center"/>
                    </w:trPr>
                    <w:tc>
                      <w:tcPr>
                        <w:tcW w:w="2426" w:type="dxa"/>
                        <w:shd w:val="clear" w:color="auto" w:fill="E2EFD9"/>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Fleksibilnost</w:t>
                        </w:r>
                      </w:p>
                    </w:tc>
                    <w:tc>
                      <w:tcPr>
                        <w:tcW w:w="2212" w:type="dxa"/>
                        <w:shd w:val="clear" w:color="auto" w:fill="E2EFD9"/>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Aktivno slušanje</w:t>
                        </w:r>
                      </w:p>
                    </w:tc>
                    <w:tc>
                      <w:tcPr>
                        <w:tcW w:w="2212" w:type="dxa"/>
                        <w:shd w:val="clear" w:color="auto" w:fill="E2EFD9"/>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Učenje na greškama</w:t>
                        </w:r>
                      </w:p>
                    </w:tc>
                    <w:tc>
                      <w:tcPr>
                        <w:tcW w:w="2212" w:type="dxa"/>
                        <w:shd w:val="clear" w:color="auto" w:fill="E2EFD9"/>
                      </w:tcPr>
                      <w:p w:rsidR="00064F9F" w:rsidRDefault="00A01281">
                        <w:pPr>
                          <w:spacing w:after="0" w:line="240" w:lineRule="auto"/>
                          <w:jc w:val="center"/>
                          <w:rPr>
                            <w:rFonts w:ascii="Times New Roman" w:hAnsi="Times New Roman"/>
                            <w:sz w:val="20"/>
                            <w:szCs w:val="20"/>
                          </w:rPr>
                        </w:pPr>
                        <w:r>
                          <w:rPr>
                            <w:rFonts w:ascii="Times New Roman" w:hAnsi="Times New Roman"/>
                            <w:sz w:val="20"/>
                            <w:szCs w:val="20"/>
                          </w:rPr>
                          <w:t>Donošenje odluka</w:t>
                        </w:r>
                      </w:p>
                    </w:tc>
                  </w:tr>
                </w:tbl>
                <w:p w:rsidR="00064F9F" w:rsidRDefault="00064F9F">
                  <w:pPr>
                    <w:spacing w:after="0" w:line="240" w:lineRule="auto"/>
                    <w:rPr>
                      <w:sz w:val="20"/>
                      <w:szCs w:val="20"/>
                    </w:rPr>
                  </w:pPr>
                </w:p>
              </w:txbxContent>
            </v:textbox>
            <w10:wrap type="square" anchorx="margin"/>
          </v:shape>
        </w:pict>
      </w:r>
      <w:r>
        <w:rPr>
          <w:rFonts w:ascii="Times New Roman" w:hAnsi="Times New Roman"/>
          <w:sz w:val="24"/>
          <w:szCs w:val="24"/>
        </w:rPr>
        <w:t xml:space="preserve">povezati obrazovni sistem i preduzetništvo. </w:t>
      </w:r>
    </w:p>
    <w:p w:rsidR="00064F9F" w:rsidRDefault="00064F9F">
      <w:pPr>
        <w:spacing w:after="0" w:line="360" w:lineRule="auto"/>
        <w:jc w:val="both"/>
        <w:rPr>
          <w:rFonts w:ascii="Times New Roman" w:hAnsi="Times New Roman"/>
          <w:b/>
          <w:i/>
          <w:sz w:val="24"/>
          <w:szCs w:val="24"/>
        </w:rPr>
      </w:pPr>
    </w:p>
    <w:p w:rsidR="00064F9F" w:rsidRDefault="00A01281">
      <w:pPr>
        <w:spacing w:after="0" w:line="360" w:lineRule="auto"/>
        <w:jc w:val="both"/>
        <w:rPr>
          <w:rFonts w:ascii="Times New Roman" w:hAnsi="Times New Roman"/>
          <w:b/>
          <w:i/>
          <w:sz w:val="24"/>
          <w:szCs w:val="24"/>
        </w:rPr>
      </w:pPr>
      <w:r>
        <w:rPr>
          <w:rFonts w:ascii="Times New Roman" w:hAnsi="Times New Roman"/>
          <w:b/>
          <w:i/>
          <w:sz w:val="24"/>
          <w:szCs w:val="24"/>
        </w:rPr>
        <w:t>Obrazovni sistem i preduzetništvo</w:t>
      </w:r>
    </w:p>
    <w:p w:rsidR="00064F9F" w:rsidRDefault="00064F9F">
      <w:pPr>
        <w:spacing w:after="0" w:line="360" w:lineRule="auto"/>
        <w:jc w:val="both"/>
        <w:rPr>
          <w:rFonts w:ascii="Times New Roman" w:hAnsi="Times New Roman"/>
          <w:b/>
          <w:sz w:val="24"/>
          <w:szCs w:val="24"/>
        </w:rPr>
      </w:pP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Činjenica da u postojećim obrazovnim programima ne postoje predmeti koji pružaju znanje o preduzetništvu, ili se tek po negde uvode kao fakultativni, nizak nivo znanja i veština i nedostatak edukativnih programa i inicijativa dovode do atmosfere u kojoj je</w:t>
      </w:r>
      <w:r>
        <w:rPr>
          <w:rFonts w:ascii="Times New Roman" w:hAnsi="Times New Roman"/>
          <w:sz w:val="24"/>
          <w:szCs w:val="24"/>
        </w:rPr>
        <w:t xml:space="preserve"> destimulisan razvoj </w:t>
      </w:r>
      <w:r>
        <w:rPr>
          <w:rFonts w:ascii="Times New Roman" w:hAnsi="Times New Roman"/>
          <w:sz w:val="24"/>
          <w:szCs w:val="24"/>
        </w:rPr>
        <w:lastRenderedPageBreak/>
        <w:t xml:space="preserve">preduzetničkog duha. Ovaj sistem ne nudi mladima veštine, znanja i informacije o trendovima savremene ekonomije i ne edukuje ih u skladu sa potrebama ekonomije i privrede. </w:t>
      </w:r>
    </w:p>
    <w:p w:rsidR="00064F9F" w:rsidRDefault="00A01281">
      <w:pPr>
        <w:spacing w:after="0" w:line="360" w:lineRule="auto"/>
        <w:jc w:val="both"/>
        <w:rPr>
          <w:rFonts w:ascii="Times New Roman" w:hAnsi="Times New Roman"/>
          <w:sz w:val="24"/>
          <w:szCs w:val="24"/>
        </w:rPr>
      </w:pPr>
      <w:r>
        <w:rPr>
          <w:rFonts w:ascii="Times New Roman" w:hAnsi="Times New Roman"/>
          <w:b/>
          <w:sz w:val="24"/>
          <w:szCs w:val="24"/>
        </w:rPr>
        <w:t>Srednjoškolski obrazovni sistem</w:t>
      </w:r>
      <w:r>
        <w:rPr>
          <w:rFonts w:ascii="Times New Roman" w:hAnsi="Times New Roman"/>
          <w:sz w:val="24"/>
          <w:szCs w:val="24"/>
        </w:rPr>
        <w:t>, čak i u slučajevima kada bi t</w:t>
      </w:r>
      <w:r>
        <w:rPr>
          <w:rFonts w:ascii="Times New Roman" w:hAnsi="Times New Roman"/>
          <w:sz w:val="24"/>
          <w:szCs w:val="24"/>
        </w:rPr>
        <w:t>o trebalo da bude potpuno logično, tj. u srednjim stručnim školama, ne podstiče mlade dovoljno da bi počeli da razmišljaju o sopstvenom biznisu. Sa tim stavom slažu se i ispitanici istraživanja u okviru projekta UN „</w:t>
      </w:r>
      <w:hyperlink r:id="rId16" w:history="1">
        <w:r>
          <w:rPr>
            <w:rStyle w:val="Hyperlink"/>
            <w:rFonts w:ascii="Times New Roman" w:hAnsi="Times New Roman"/>
            <w:sz w:val="24"/>
            <w:szCs w:val="24"/>
          </w:rPr>
          <w:t>Srbija kakvu želim</w:t>
        </w:r>
      </w:hyperlink>
      <w:r>
        <w:rPr>
          <w:rFonts w:ascii="Times New Roman" w:hAnsi="Times New Roman"/>
          <w:sz w:val="24"/>
          <w:szCs w:val="24"/>
        </w:rPr>
        <w:t>“, koji je sprovela Kancelarija stalne koordinatorke UN u Srbiji i SECONS grupa za razvojnu inicijativu, 2015. godine. Naime, sa ovim se u potpunosti slaže samo 7,1% ispitanika nacionalno reprezentativnog uzorka, starosti 15 i viš</w:t>
      </w:r>
      <w:r>
        <w:rPr>
          <w:rFonts w:ascii="Times New Roman" w:hAnsi="Times New Roman"/>
          <w:sz w:val="24"/>
          <w:szCs w:val="24"/>
        </w:rPr>
        <w:t>e godina.  Na pitanje šta bi Srbija trebalo da uradi da bi sistem obrazovanja podstakao preduzetništvo 24,9% ispitanika navelo je da je to obrazovanje mladih, 19,3% da je to uvođenje prakse u obrazovni sistem i 10,6% da je neophodno razvijati nauku o predu</w:t>
      </w:r>
      <w:r>
        <w:rPr>
          <w:rFonts w:ascii="Times New Roman" w:hAnsi="Times New Roman"/>
          <w:sz w:val="24"/>
          <w:szCs w:val="24"/>
        </w:rPr>
        <w:t xml:space="preserve">zetništvu na svim obrazovnim nivoima.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Obrazovne politike, strukturisane onako kako sada izgledaju najčešće nemaju ugrađeno razmišljanje o potrebi stavljanja obrazovnog sistema u funkciju ekonomskog razvoja i povezivanja preduzetništva sa obrazovnim sistem</w:t>
      </w:r>
      <w:r>
        <w:rPr>
          <w:rFonts w:ascii="Times New Roman" w:hAnsi="Times New Roman"/>
          <w:sz w:val="24"/>
          <w:szCs w:val="24"/>
        </w:rPr>
        <w:t>om. Značajan pomak učinjen je početkom ove godine kada je potpisan Memorandum o saradnji u razvoju elemenata dualnog obrazovanja u srednjem stručnom obrazovanju u Srbiji, između Austrije i Srbije, čiji je osnovni cilj povezivanje teorije i prakse u sistemu</w:t>
      </w:r>
      <w:r>
        <w:rPr>
          <w:rFonts w:ascii="Times New Roman" w:hAnsi="Times New Roman"/>
          <w:sz w:val="24"/>
          <w:szCs w:val="24"/>
        </w:rPr>
        <w:t xml:space="preserve"> obrazovanja. Funkcije poput istraživanja i razvoja, školovanja kadra za privredu, obučavanja učenika i studenata za obavljanje zanimanja u realnoj ekonomiji, strateškog/partnerskog planiranja out-put-a obrazovnog sistema, treba posmatrati kao ključne funk</w:t>
      </w:r>
      <w:r>
        <w:rPr>
          <w:rFonts w:ascii="Times New Roman" w:hAnsi="Times New Roman"/>
          <w:sz w:val="24"/>
          <w:szCs w:val="24"/>
        </w:rPr>
        <w:t>cije obrazovnog sistema.</w:t>
      </w:r>
    </w:p>
    <w:p w:rsidR="00064F9F" w:rsidRDefault="00A01281">
      <w:pPr>
        <w:spacing w:after="0" w:line="360" w:lineRule="auto"/>
        <w:jc w:val="both"/>
        <w:rPr>
          <w:rFonts w:ascii="Times New Roman" w:hAnsi="Times New Roman"/>
          <w:sz w:val="24"/>
          <w:szCs w:val="24"/>
        </w:rPr>
      </w:pPr>
      <w:r>
        <w:rPr>
          <w:rFonts w:ascii="Times New Roman" w:hAnsi="Times New Roman"/>
          <w:b/>
          <w:sz w:val="24"/>
          <w:szCs w:val="24"/>
        </w:rPr>
        <w:t>Visokoškolski obrazovni sistem</w:t>
      </w:r>
      <w:r>
        <w:rPr>
          <w:rFonts w:ascii="Times New Roman" w:hAnsi="Times New Roman"/>
          <w:sz w:val="24"/>
          <w:szCs w:val="24"/>
        </w:rPr>
        <w:t xml:space="preserve"> ne snabdeva studente znanjima i veštinama potrebnim za radno mesto i destimuliše preduzetničko razmišljanje i ponašanje. Takođe, taj sistem ne razvija okvire u kojima bi istraživačkim i razvojnim proj</w:t>
      </w:r>
      <w:r>
        <w:rPr>
          <w:rFonts w:ascii="Times New Roman" w:hAnsi="Times New Roman"/>
          <w:sz w:val="24"/>
          <w:szCs w:val="24"/>
        </w:rPr>
        <w:t>ektima bilo omogućeno da idu prema komercijalizaciji i tržištu. Stoga je neophodno na univerzitetima:</w:t>
      </w:r>
    </w:p>
    <w:p w:rsidR="00064F9F" w:rsidRDefault="00A01281">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Razvijati kulturu preduzetništva, kao i mehanizme za prevođenje naučno-istraživačkih projekata u komercijalne proizvode, uspostavljanje centara za transfe</w:t>
      </w:r>
      <w:r>
        <w:rPr>
          <w:rFonts w:ascii="Times New Roman" w:hAnsi="Times New Roman"/>
          <w:sz w:val="24"/>
          <w:szCs w:val="24"/>
        </w:rPr>
        <w:t>r tehnologija i inkubatora. Podsticati razvoj međusobne saradnje takvih centara, kao i saradnje sa industrijskim klasterima. Podsticati transfer znanja između univerzitetâ u zemlji i regionu.</w:t>
      </w:r>
    </w:p>
    <w:p w:rsidR="00064F9F" w:rsidRDefault="00A01281">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lastRenderedPageBreak/>
        <w:t>Stimulisati profesorski kadar i studente da pokreću preduzetničk</w:t>
      </w:r>
      <w:r>
        <w:rPr>
          <w:rFonts w:ascii="Times New Roman" w:hAnsi="Times New Roman"/>
          <w:sz w:val="24"/>
          <w:szCs w:val="24"/>
        </w:rPr>
        <w:t>e poduhvate i pružati povoljne uslove za razvoj tzv. spin-off kompanija.</w:t>
      </w:r>
    </w:p>
    <w:p w:rsidR="00064F9F" w:rsidRDefault="00A01281">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Kreirati veze između investicione zajednice i inovativnih projekata koji imaju poreklo sa univerziteta.</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Jedan od pozitivnih primera je Univerzitet u Novom Sadu. Profesori i istraživač</w:t>
      </w:r>
      <w:r>
        <w:rPr>
          <w:rFonts w:ascii="Times New Roman" w:hAnsi="Times New Roman"/>
          <w:sz w:val="24"/>
          <w:szCs w:val="24"/>
        </w:rPr>
        <w:t xml:space="preserve">i ovog univerziteta preuzimaju aktivne uloge u uspostavljanju spin-off kompanija zasnovanih na njihovim istraživačkim projektima. Kao rezultat do sada su na Univerzitetu u Novom Sadu uspostavljane </w:t>
      </w:r>
      <w:hyperlink r:id="rId17" w:history="1">
        <w:r>
          <w:rPr>
            <w:rStyle w:val="Hyperlink"/>
            <w:rFonts w:ascii="Times New Roman" w:hAnsi="Times New Roman"/>
            <w:sz w:val="24"/>
            <w:szCs w:val="24"/>
          </w:rPr>
          <w:t>102 spin-off kompanije</w:t>
        </w:r>
      </w:hyperlink>
      <w:r>
        <w:rPr>
          <w:rFonts w:ascii="Times New Roman" w:hAnsi="Times New Roman"/>
          <w:sz w:val="24"/>
          <w:szCs w:val="24"/>
        </w:rPr>
        <w:t xml:space="preserve">, koje su imale obrt od 90,4 miliona evra u 2014. Spin-off kompanije su pretežno u sektoru informacionih i komunikacionih tehnologija i dolaze sa Fakulteta tehničkih nauka. </w:t>
      </w:r>
    </w:p>
    <w:p w:rsidR="00064F9F" w:rsidRDefault="00A01281">
      <w:pPr>
        <w:spacing w:after="0" w:line="360" w:lineRule="auto"/>
        <w:jc w:val="both"/>
        <w:rPr>
          <w:rFonts w:ascii="Times New Roman" w:hAnsi="Times New Roman"/>
          <w:sz w:val="24"/>
          <w:szCs w:val="24"/>
        </w:rPr>
      </w:pPr>
      <w:r>
        <w:rPr>
          <w:noProof/>
          <w:lang w:val="en-GB" w:eastAsia="en-GB"/>
        </w:rPr>
        <w:pict>
          <v:shape id="1038" o:spid="_x0000_s1026" type="#_x0000_t202" style="position:absolute;left:0;text-align:left;margin-left:8.4pt;margin-top:155.55pt;width:456pt;height:112.2pt;z-index:2;visibility:visible;mso-width-percent:0;mso-height-percent:0;mso-wrap-distance-top:3.6pt;mso-wrap-distance-bottom:3.6pt;mso-position-horizontal-relative:margin;mso-position-vertical-relative:text;mso-width-percent:0;mso-height-percent:0;mso-width-relative:margin;mso-height-relative:margin" fillcolor="#a8d08d" strokecolor="red" strokeweight="2.25pt">
            <v:shadow on="t" color="black" opacity="26214f" origin=".5,.5" offset="-.74836mm,-.74836mm"/>
            <v:textbox>
              <w:txbxContent>
                <w:p w:rsidR="00064F9F" w:rsidRDefault="00A01281">
                  <w:pPr>
                    <w:spacing w:after="0" w:line="240" w:lineRule="auto"/>
                    <w:jc w:val="both"/>
                    <w:rPr>
                      <w:rFonts w:ascii="Times New Roman" w:hAnsi="Times New Roman"/>
                      <w:sz w:val="20"/>
                      <w:szCs w:val="20"/>
                    </w:rPr>
                  </w:pPr>
                  <w:r>
                    <w:rPr>
                      <w:rFonts w:ascii="Times New Roman" w:hAnsi="Times New Roman"/>
                      <w:b/>
                      <w:sz w:val="20"/>
                      <w:szCs w:val="20"/>
                      <w:u w:val="single"/>
                    </w:rPr>
                    <w:t>Spin-off firma</w:t>
                  </w:r>
                  <w:r>
                    <w:rPr>
                      <w:rFonts w:ascii="Times New Roman" w:hAnsi="Times New Roman"/>
                      <w:sz w:val="20"/>
                      <w:szCs w:val="20"/>
                    </w:rPr>
                    <w:t xml:space="preserve"> nastaje izdvajanjem dela neke delatnosti iz veće kompanije i pokretanjem firme koja je fokusirana na taj konkretan segment delatnosti. Česte situacije kada se preduzima osnivanje novog spin-off-a su kada se unutar firme pokreće novi poslovni poduhvat, kad</w:t>
                  </w:r>
                  <w:r>
                    <w:rPr>
                      <w:rFonts w:ascii="Times New Roman" w:hAnsi="Times New Roman"/>
                      <w:sz w:val="20"/>
                      <w:szCs w:val="20"/>
                    </w:rPr>
                    <w:t>a se kreira novi proizvod ili usluga ili kada se nastupa na novim tržištima. Akademski/univerzitetski spin-off jeste poslovni poduhvat koji pokreću sami univerziteti kako bi komercijalizovali rezultate naučnoistraživačkih projekata, tj. kako bi transformis</w:t>
                  </w:r>
                  <w:r>
                    <w:rPr>
                      <w:rFonts w:ascii="Times New Roman" w:hAnsi="Times New Roman"/>
                      <w:sz w:val="20"/>
                      <w:szCs w:val="20"/>
                    </w:rPr>
                    <w:t>ali tehnološke inovacije ili investicije u proizvode koji mogu da zadovolje neke tržišne potrebe i stoga budu profitabilni. S obzirom da se spin-off-ovi uglavnom zasnivaju na naučnoistraživačkom radu, prava intelektualne svojine predstavljaju ključ njihovo</w:t>
                  </w:r>
                  <w:r>
                    <w:rPr>
                      <w:rFonts w:ascii="Times New Roman" w:hAnsi="Times New Roman"/>
                      <w:sz w:val="20"/>
                      <w:szCs w:val="20"/>
                    </w:rPr>
                    <w:t>g uspeha, pa je bitan element u njihovom uspostavljanju regulisanje prava intelektualne svojine između akademske institucije i novoosnovane firme.</w:t>
                  </w:r>
                </w:p>
                <w:p w:rsidR="00064F9F" w:rsidRDefault="00064F9F">
                  <w:pPr>
                    <w:rPr>
                      <w:sz w:val="20"/>
                      <w:szCs w:val="20"/>
                    </w:rPr>
                  </w:pPr>
                </w:p>
              </w:txbxContent>
            </v:textbox>
            <w10:wrap type="square" anchorx="margin"/>
          </v:shape>
        </w:pict>
      </w:r>
      <w:r>
        <w:rPr>
          <w:rFonts w:ascii="Times New Roman" w:hAnsi="Times New Roman"/>
          <w:sz w:val="24"/>
          <w:szCs w:val="24"/>
        </w:rPr>
        <w:t>Kao verovatno najuspešniji primer spin-off kompanije ponikle sa ovog Univerziteta, može se navesti kompanija</w:t>
      </w:r>
      <w:r>
        <w:rPr>
          <w:rFonts w:ascii="Times New Roman" w:hAnsi="Times New Roman"/>
          <w:sz w:val="24"/>
          <w:szCs w:val="24"/>
        </w:rPr>
        <w:t xml:space="preserve"> koja danas nosi ime Schneider DMS, joint venture kompanija za istraživanje, razvoj i inženjering u oblasti softvera za upravljanje sistemima prenosa električne energije. Kompanija je pokrenuta od malog tima profesora i studenata, da bi danas, posle nekoli</w:t>
      </w:r>
      <w:r>
        <w:rPr>
          <w:rFonts w:ascii="Times New Roman" w:hAnsi="Times New Roman"/>
          <w:sz w:val="24"/>
          <w:szCs w:val="24"/>
        </w:rPr>
        <w:t>ko godina izuzetno visokog rasta, zapošljavanja preko 1000 eksperata (30 doktora nauka). Kompanija je svoje proizvode plasirala u 50 zemalja, gde ih koristi 130 operatera za prenos električne energije, koji snabdevaju preko 70 miliona krajnjih korisnika.</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ored uvođenja predmeta u srednje škole i fakultete, posebno je bitno osnivati:</w:t>
      </w:r>
    </w:p>
    <w:p w:rsidR="00064F9F" w:rsidRDefault="00A01281">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poslovno-savetodavne centre pri obrazovnim institucijama, </w:t>
      </w:r>
    </w:p>
    <w:p w:rsidR="00064F9F" w:rsidRDefault="00A01281">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uspostavljati „koučing“ programe u saradnji sa privatnim sektorom, </w:t>
      </w:r>
    </w:p>
    <w:p w:rsidR="00064F9F" w:rsidRDefault="00A01281">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programe takmičenja, stručno-poslovnih praksi, ink</w:t>
      </w:r>
      <w:r>
        <w:rPr>
          <w:rFonts w:ascii="Times New Roman" w:hAnsi="Times New Roman"/>
          <w:sz w:val="24"/>
          <w:szCs w:val="24"/>
        </w:rPr>
        <w:t xml:space="preserve">ubacije, finansijske i nefinansijske podrške za pokretanje biznisa.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lastRenderedPageBreak/>
        <w:t>Međutim, za programe neformalnog/dodatnog obrazovanja ili programe prakse, poput Academic To Business, neophodna je saradnja između javnog i privatnog sektora. U ovom slučaju, fakulteta i</w:t>
      </w:r>
      <w:r>
        <w:rPr>
          <w:rFonts w:ascii="Times New Roman" w:hAnsi="Times New Roman"/>
          <w:sz w:val="24"/>
          <w:szCs w:val="24"/>
        </w:rPr>
        <w:t xml:space="preserve"> kompanija, lokalne samouprave i kompanija. Zakon o javno-privatnom partnerstvu donet je tek 2011. godine i u sistemu obrazovanja još uvek nema svoju punu primenu. Stoga je primere dobre prakse neophodno tražiti u zemljama koje su takvo partnerstvo uspešno</w:t>
      </w:r>
      <w:r>
        <w:rPr>
          <w:rFonts w:ascii="Times New Roman" w:hAnsi="Times New Roman"/>
          <w:sz w:val="24"/>
          <w:szCs w:val="24"/>
        </w:rPr>
        <w:t xml:space="preserve"> realizovale.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 xml:space="preserve">Jedan od primera dobre prakse umrežavanja institucija nadležnih za obrazovanje i preduzetništvo je </w:t>
      </w:r>
      <w:hyperlink r:id="rId18" w:history="1">
        <w:r>
          <w:rPr>
            <w:rStyle w:val="Hyperlink"/>
            <w:rFonts w:ascii="Times New Roman" w:hAnsi="Times New Roman"/>
            <w:sz w:val="24"/>
            <w:szCs w:val="24"/>
          </w:rPr>
          <w:t>Danski model iz 2010 godine</w:t>
        </w:r>
      </w:hyperlink>
      <w:r>
        <w:rPr>
          <w:rFonts w:ascii="Times New Roman" w:hAnsi="Times New Roman"/>
          <w:sz w:val="24"/>
          <w:szCs w:val="24"/>
        </w:rPr>
        <w:t>.</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Uvidevši potrebu za efikasnijim organizo</w:t>
      </w:r>
      <w:r>
        <w:rPr>
          <w:rFonts w:ascii="Times New Roman" w:hAnsi="Times New Roman"/>
          <w:sz w:val="24"/>
          <w:szCs w:val="24"/>
        </w:rPr>
        <w:t xml:space="preserve">vanjem i koordinacijom u cilju razvoja preduzetničkog obrazovanja, četiri danska ministarstva, koja su nadležna za obrazovni sistem, udružila su snage i razvila zajedničku strategiju, koja je imala tri cilja: </w:t>
      </w:r>
    </w:p>
    <w:p w:rsidR="00064F9F" w:rsidRDefault="00A01281">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da se preduzetničko obrazovanje ugradi u </w:t>
      </w:r>
      <w:r>
        <w:rPr>
          <w:rFonts w:ascii="Times New Roman" w:hAnsi="Times New Roman"/>
          <w:sz w:val="24"/>
          <w:szCs w:val="24"/>
        </w:rPr>
        <w:t>obrazovni sistem od predškolskog do nivoa doktorskih studija</w:t>
      </w:r>
    </w:p>
    <w:p w:rsidR="00064F9F" w:rsidRDefault="00A01281">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da se formira Danska fondacija za preduzetništvo </w:t>
      </w:r>
    </w:p>
    <w:p w:rsidR="00064F9F" w:rsidRDefault="00A01281">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da struktura partnerstva uključi sva četiri ministarstva</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Ovakva strategija dovela je do značajnog porasta broja učenika i studenata koji su uzeli</w:t>
      </w:r>
      <w:r>
        <w:rPr>
          <w:rFonts w:ascii="Times New Roman" w:hAnsi="Times New Roman"/>
          <w:sz w:val="24"/>
          <w:szCs w:val="24"/>
        </w:rPr>
        <w:t xml:space="preserve"> učešće u programima preduzetničkog obrazovanja. Oni su ovo pretvorili u svoju viziju, zasnovanu na vrlo merljivim pokazateljima da studenti koji imaju preduzetniče kompetencije mnogo više doprinose razvoju ekonomije, kao i da imaju pozitivnije stavove u v</w:t>
      </w:r>
      <w:r>
        <w:rPr>
          <w:rFonts w:ascii="Times New Roman" w:hAnsi="Times New Roman"/>
          <w:sz w:val="24"/>
          <w:szCs w:val="24"/>
        </w:rPr>
        <w:t>ezi sa sopstvenim životom i izborima.</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Danas Fondacija predstavlja resursni centar, finansira razvoj novih kurseva i obrazovnih praksi, bavi se izgradnjom kompetencija nastavnog kadra, kreira i distribuira nastavne materijale i sredstva, nudi umrežavanje na</w:t>
      </w:r>
      <w:r>
        <w:rPr>
          <w:rFonts w:ascii="Times New Roman" w:hAnsi="Times New Roman"/>
          <w:sz w:val="24"/>
          <w:szCs w:val="24"/>
        </w:rPr>
        <w:t xml:space="preserve">stavnika na svim nivoima, podržava razvoj preduzetničke kulture, bavi se merenjem i evaluacijom politika. </w:t>
      </w:r>
    </w:p>
    <w:p w:rsidR="00064F9F" w:rsidRDefault="00064F9F">
      <w:pPr>
        <w:spacing w:after="0" w:line="360" w:lineRule="auto"/>
        <w:jc w:val="both"/>
        <w:outlineLvl w:val="1"/>
        <w:rPr>
          <w:rFonts w:ascii="Times New Roman" w:eastAsia="Times New Roman" w:hAnsi="Times New Roman"/>
          <w:b/>
          <w:bCs/>
          <w:i/>
          <w:sz w:val="24"/>
          <w:szCs w:val="24"/>
          <w:lang w:eastAsia="en-GB"/>
        </w:rPr>
      </w:pPr>
    </w:p>
    <w:p w:rsidR="00064F9F" w:rsidRDefault="00A01281">
      <w:pPr>
        <w:spacing w:after="0" w:line="360" w:lineRule="auto"/>
        <w:jc w:val="both"/>
        <w:outlineLvl w:val="1"/>
        <w:rPr>
          <w:rFonts w:ascii="Times New Roman" w:eastAsia="Times New Roman" w:hAnsi="Times New Roman"/>
          <w:b/>
          <w:bCs/>
          <w:i/>
          <w:sz w:val="24"/>
          <w:szCs w:val="24"/>
          <w:lang w:eastAsia="en-GB"/>
        </w:rPr>
      </w:pPr>
      <w:r>
        <w:rPr>
          <w:rFonts w:ascii="Times New Roman" w:eastAsia="Times New Roman" w:hAnsi="Times New Roman"/>
          <w:b/>
          <w:bCs/>
          <w:i/>
          <w:sz w:val="24"/>
          <w:szCs w:val="24"/>
          <w:lang w:eastAsia="en-GB"/>
        </w:rPr>
        <w:t>Dostupnost finansija i pristup kapitalu</w:t>
      </w:r>
    </w:p>
    <w:p w:rsidR="00064F9F" w:rsidRDefault="00064F9F">
      <w:pPr>
        <w:spacing w:after="0" w:line="360" w:lineRule="auto"/>
        <w:jc w:val="both"/>
        <w:outlineLvl w:val="1"/>
        <w:rPr>
          <w:rFonts w:ascii="Times New Roman" w:eastAsia="Times New Roman" w:hAnsi="Times New Roman"/>
          <w:b/>
          <w:bCs/>
          <w:i/>
          <w:sz w:val="24"/>
          <w:szCs w:val="24"/>
          <w:lang w:eastAsia="en-GB"/>
        </w:rPr>
      </w:pPr>
    </w:p>
    <w:p w:rsidR="00064F9F" w:rsidRDefault="00A01281">
      <w:pPr>
        <w:spacing w:after="0" w:line="360" w:lineRule="auto"/>
        <w:jc w:val="both"/>
        <w:outlineLvl w:val="1"/>
        <w:rPr>
          <w:rFonts w:ascii="Times New Roman" w:eastAsia="Times New Roman" w:hAnsi="Times New Roman"/>
          <w:bCs/>
          <w:color w:val="FF0000"/>
          <w:sz w:val="24"/>
          <w:szCs w:val="24"/>
          <w:lang w:eastAsia="en-GB"/>
        </w:rPr>
      </w:pPr>
      <w:r>
        <w:rPr>
          <w:rFonts w:ascii="Times New Roman" w:eastAsia="Times New Roman" w:hAnsi="Times New Roman"/>
          <w:bCs/>
          <w:sz w:val="24"/>
          <w:szCs w:val="24"/>
          <w:lang w:eastAsia="en-GB"/>
        </w:rPr>
        <w:t>U pomenutom istraživanju organizacije „Građanske inicijative“, 66% mladih bi se okušalo u preduzetništvu ka</w:t>
      </w:r>
      <w:r>
        <w:rPr>
          <w:rFonts w:ascii="Times New Roman" w:eastAsia="Times New Roman" w:hAnsi="Times New Roman"/>
          <w:bCs/>
          <w:sz w:val="24"/>
          <w:szCs w:val="24"/>
          <w:lang w:eastAsia="en-GB"/>
        </w:rPr>
        <w:t xml:space="preserve">da bi imalo materijalnu podršku države u prvim godinama rada, 54% kada bi na tržištu vladala zdravija konkurencija, 52% kada bi mogli da dobiju povoljan kredit i 46% kada bi </w:t>
      </w:r>
      <w:r>
        <w:rPr>
          <w:rFonts w:ascii="Times New Roman" w:eastAsia="Times New Roman" w:hAnsi="Times New Roman"/>
          <w:bCs/>
          <w:sz w:val="24"/>
          <w:szCs w:val="24"/>
          <w:lang w:eastAsia="en-GB"/>
        </w:rPr>
        <w:lastRenderedPageBreak/>
        <w:t xml:space="preserve">imali mogućnost da steknu iskustvo u vođenju posla. </w:t>
      </w:r>
      <w:r>
        <w:rPr>
          <w:rFonts w:ascii="Times New Roman" w:eastAsia="Times New Roman" w:hAnsi="Times New Roman"/>
          <w:bCs/>
          <w:color w:val="FF0000"/>
          <w:sz w:val="24"/>
          <w:szCs w:val="24"/>
          <w:lang w:eastAsia="en-GB"/>
        </w:rPr>
        <w:t>Traganje za izvorima finansira</w:t>
      </w:r>
      <w:r>
        <w:rPr>
          <w:rFonts w:ascii="Times New Roman" w:eastAsia="Times New Roman" w:hAnsi="Times New Roman"/>
          <w:bCs/>
          <w:color w:val="FF0000"/>
          <w:sz w:val="24"/>
          <w:szCs w:val="24"/>
          <w:lang w:eastAsia="en-GB"/>
        </w:rPr>
        <w:t>nja za pokretanje ili proširenje sopstvenog biznisa predstavljaju najveće izazov preduzetništva.</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Ekonomska kriza donela je zatvorenost bankarskog sektora za finansiranje malih, srednjih preduzeća i preduzetništva, a paralelno je uslove finansiranja u banka</w:t>
      </w:r>
      <w:r>
        <w:rPr>
          <w:rFonts w:ascii="Times New Roman" w:eastAsia="Times New Roman" w:hAnsi="Times New Roman"/>
          <w:bCs/>
          <w:sz w:val="24"/>
          <w:szCs w:val="24"/>
          <w:lang w:eastAsia="en-GB"/>
        </w:rPr>
        <w:t>rskom sektoru učinila potpuno neatraktivnim ili neostvarivim za najveći deo tog sektora. Praktično ne postoje mehanizmi za finansiranje pokretanja novog biznisa, bez obzira na kvalitet poslovne ideje. Takođe, u Srbiji ne postoji jasno definisan model mikro</w:t>
      </w:r>
      <w:r>
        <w:rPr>
          <w:rFonts w:ascii="Times New Roman" w:eastAsia="Times New Roman" w:hAnsi="Times New Roman"/>
          <w:bCs/>
          <w:sz w:val="24"/>
          <w:szCs w:val="24"/>
          <w:lang w:eastAsia="en-GB"/>
        </w:rPr>
        <w:t>kreditiranja, a Zakon o mikrofinansiranju je već godinama u procesu izrade. Prema poslednjim najavama, Zakon bi trebalo da bude donet krajem ove ili početkom 2017. godine.</w:t>
      </w:r>
    </w:p>
    <w:p w:rsidR="00064F9F" w:rsidRDefault="00A01281">
      <w:pPr>
        <w:spacing w:after="0" w:line="360" w:lineRule="auto"/>
        <w:jc w:val="both"/>
        <w:outlineLvl w:val="1"/>
        <w:rPr>
          <w:rFonts w:ascii="Times New Roman" w:hAnsi="Times New Roman"/>
          <w:bCs/>
          <w:sz w:val="24"/>
          <w:szCs w:val="24"/>
        </w:rPr>
      </w:pPr>
      <w:r>
        <w:rPr>
          <w:rFonts w:ascii="Times New Roman" w:hAnsi="Times New Roman"/>
          <w:bCs/>
          <w:sz w:val="24"/>
          <w:szCs w:val="24"/>
        </w:rPr>
        <w:t>Na skupu pod nazivom „</w:t>
      </w:r>
      <w:hyperlink r:id="rId19" w:history="1">
        <w:r>
          <w:rPr>
            <w:rStyle w:val="Hyperlink"/>
            <w:rFonts w:ascii="Times New Roman" w:hAnsi="Times New Roman"/>
            <w:bCs/>
            <w:sz w:val="24"/>
            <w:szCs w:val="24"/>
          </w:rPr>
          <w:t>M</w:t>
        </w:r>
        <w:r>
          <w:rPr>
            <w:rStyle w:val="Hyperlink"/>
            <w:rFonts w:ascii="Times New Roman" w:hAnsi="Times New Roman"/>
            <w:bCs/>
            <w:sz w:val="24"/>
            <w:szCs w:val="24"/>
          </w:rPr>
          <w:t>ikrofinansiranje u funkciji jačanja malog biznisa</w:t>
        </w:r>
      </w:hyperlink>
      <w:r>
        <w:rPr>
          <w:rFonts w:ascii="Times New Roman" w:hAnsi="Times New Roman"/>
          <w:bCs/>
          <w:sz w:val="24"/>
          <w:szCs w:val="24"/>
        </w:rPr>
        <w:t xml:space="preserve">“ u organizaciji Privredne komore Srbije, izneti su podaci da je u proteklih pet godina malom i srednjem biznisu u Srbiji odobreno je oko </w:t>
      </w:r>
      <w:r>
        <w:rPr>
          <w:rFonts w:ascii="Times New Roman" w:hAnsi="Times New Roman"/>
          <w:b/>
          <w:bCs/>
          <w:sz w:val="24"/>
          <w:szCs w:val="24"/>
        </w:rPr>
        <w:t>32.000 mikrokredita</w:t>
      </w:r>
      <w:r>
        <w:rPr>
          <w:rFonts w:ascii="Times New Roman" w:hAnsi="Times New Roman"/>
          <w:bCs/>
          <w:sz w:val="24"/>
          <w:szCs w:val="24"/>
        </w:rPr>
        <w:t xml:space="preserve"> sa prosečnim sredstvima od </w:t>
      </w:r>
      <w:r>
        <w:rPr>
          <w:rFonts w:ascii="Times New Roman" w:hAnsi="Times New Roman"/>
          <w:b/>
          <w:bCs/>
          <w:sz w:val="24"/>
          <w:szCs w:val="24"/>
        </w:rPr>
        <w:t>1.409 evra</w:t>
      </w:r>
      <w:r>
        <w:rPr>
          <w:rFonts w:ascii="Times New Roman" w:hAnsi="Times New Roman"/>
          <w:bCs/>
          <w:sz w:val="24"/>
          <w:szCs w:val="24"/>
        </w:rPr>
        <w:t xml:space="preserve"> po kreditu sa rokom otplate 22 meseca. Sa druge strane u Evropskoj uniji za dve godine realizovano je </w:t>
      </w:r>
      <w:r>
        <w:rPr>
          <w:rFonts w:ascii="Times New Roman" w:hAnsi="Times New Roman"/>
          <w:b/>
          <w:bCs/>
          <w:sz w:val="24"/>
          <w:szCs w:val="24"/>
        </w:rPr>
        <w:t>390.000 mikrokredita</w:t>
      </w:r>
      <w:r>
        <w:rPr>
          <w:rFonts w:ascii="Times New Roman" w:hAnsi="Times New Roman"/>
          <w:bCs/>
          <w:sz w:val="24"/>
          <w:szCs w:val="24"/>
        </w:rPr>
        <w:t xml:space="preserve">, a vrednost pojedinačnog zajma bila je oko </w:t>
      </w:r>
      <w:r>
        <w:rPr>
          <w:rFonts w:ascii="Times New Roman" w:hAnsi="Times New Roman"/>
          <w:b/>
          <w:bCs/>
          <w:sz w:val="24"/>
          <w:szCs w:val="24"/>
        </w:rPr>
        <w:t>8.500 evra</w:t>
      </w:r>
      <w:r>
        <w:rPr>
          <w:rFonts w:ascii="Times New Roman" w:hAnsi="Times New Roman"/>
          <w:bCs/>
          <w:sz w:val="24"/>
          <w:szCs w:val="24"/>
        </w:rPr>
        <w:t>.</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Najviše mikrokredita u Srbiji odobreno je sektorima proizvodnje, poljoprivrede i usluga, a otvoreno je skoro 53.000 novih radnih mesta. Strani investitori veruju da je mikrofinansiranje jedno od važnih rešenja za smanjenje nezaposlenosti i siromaštva, kao </w:t>
      </w:r>
      <w:r>
        <w:rPr>
          <w:rFonts w:ascii="Times New Roman" w:eastAsia="Times New Roman" w:hAnsi="Times New Roman"/>
          <w:bCs/>
          <w:sz w:val="24"/>
          <w:szCs w:val="24"/>
          <w:lang w:eastAsia="en-GB"/>
        </w:rPr>
        <w:t xml:space="preserve">i da bi strana ulaganja bila veća ako bi bila doneta zakonska regulativa koja bi efikasno uredila taj segment poslovanja. </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Evropska unija u velikoj meri promoviše ovaj vid  alternativnog  finansiranja malog biznisa koji se zasniva na uređenoj zakonskoj reg</w:t>
      </w:r>
      <w:r>
        <w:rPr>
          <w:rFonts w:ascii="Times New Roman" w:eastAsia="Times New Roman" w:hAnsi="Times New Roman"/>
          <w:bCs/>
          <w:sz w:val="24"/>
          <w:szCs w:val="24"/>
          <w:lang w:eastAsia="en-GB"/>
        </w:rPr>
        <w:t xml:space="preserve">ulativi. U praksi Evropske unije su posebno zastupljeni razni profili investicionih fondova, društva investicionih fondova, venture capital fondovi, mutual fondovi i drugi.  </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Zaključak skupa je da bi mikrokrediti u Srbiji mogli da budu još povoljniji da po</w:t>
      </w:r>
      <w:r>
        <w:rPr>
          <w:rFonts w:ascii="Times New Roman" w:eastAsia="Times New Roman" w:hAnsi="Times New Roman"/>
          <w:bCs/>
          <w:sz w:val="24"/>
          <w:szCs w:val="24"/>
          <w:lang w:eastAsia="en-GB"/>
        </w:rPr>
        <w:t xml:space="preserve">stoji Zakon o mikrofinansiranju. </w:t>
      </w:r>
    </w:p>
    <w:p w:rsidR="00064F9F" w:rsidRDefault="00064F9F">
      <w:pPr>
        <w:spacing w:after="0" w:line="360" w:lineRule="auto"/>
        <w:jc w:val="both"/>
        <w:outlineLvl w:val="1"/>
        <w:rPr>
          <w:rFonts w:ascii="Times New Roman" w:eastAsia="Times New Roman" w:hAnsi="Times New Roman"/>
          <w:bCs/>
          <w:sz w:val="24"/>
          <w:szCs w:val="24"/>
          <w:lang w:eastAsia="en-GB"/>
        </w:rPr>
      </w:pP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Efikasnost sprovođenja obrazovne i finansijske podrške, gore opisane, dovele bi do razvoja preduzetničke kulture i promocije veština, vrednosti i stavova za biznis inicijative. </w:t>
      </w:r>
    </w:p>
    <w:p w:rsidR="00064F9F" w:rsidRDefault="00064F9F">
      <w:pPr>
        <w:spacing w:after="0" w:line="360" w:lineRule="auto"/>
        <w:jc w:val="both"/>
        <w:outlineLvl w:val="1"/>
        <w:rPr>
          <w:rFonts w:ascii="Times New Roman" w:eastAsia="Times New Roman" w:hAnsi="Times New Roman"/>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A01281">
      <w:pPr>
        <w:pStyle w:val="TOCHeading"/>
        <w:spacing w:before="0" w:line="360" w:lineRule="auto"/>
        <w:rPr>
          <w:rFonts w:ascii="Times New Roman" w:eastAsia="Times New Roman" w:hAnsi="Times New Roman" w:cs="Times New Roman"/>
          <w:b/>
          <w:color w:val="auto"/>
          <w:sz w:val="28"/>
          <w:szCs w:val="28"/>
          <w:lang w:eastAsia="en-GB"/>
        </w:rPr>
      </w:pPr>
      <w:r>
        <w:rPr>
          <w:rFonts w:ascii="Times New Roman" w:eastAsia="Times New Roman" w:hAnsi="Times New Roman" w:cs="Times New Roman"/>
          <w:b/>
          <w:color w:val="auto"/>
          <w:sz w:val="28"/>
          <w:szCs w:val="28"/>
          <w:lang w:eastAsia="en-GB"/>
        </w:rPr>
        <w:lastRenderedPageBreak/>
        <w:t>Zaključci i preporuke</w:t>
      </w:r>
    </w:p>
    <w:p w:rsidR="00064F9F" w:rsidRDefault="00064F9F">
      <w:pPr>
        <w:spacing w:after="0" w:line="360" w:lineRule="auto"/>
        <w:jc w:val="both"/>
        <w:rPr>
          <w:rFonts w:ascii="Times New Roman" w:hAnsi="Times New Roman"/>
          <w:sz w:val="24"/>
          <w:szCs w:val="24"/>
        </w:rPr>
      </w:pP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 xml:space="preserve">Osnovna preporuka </w:t>
      </w:r>
      <w:r>
        <w:rPr>
          <w:rFonts w:ascii="Times New Roman" w:hAnsi="Times New Roman"/>
          <w:sz w:val="24"/>
          <w:szCs w:val="24"/>
        </w:rPr>
        <w:t>je formiranje preduzetničkog ekosistema Grada Niša koji će delovati u cilju podsticanja i razvoja preduzetništva. Preduzetnički ekosistem sačinjavaju svi oni koji doprinose razvoju preduzetništva, organizujući inicijative koje će podsticati ljude da se bav</w:t>
      </w:r>
      <w:r>
        <w:rPr>
          <w:rFonts w:ascii="Times New Roman" w:hAnsi="Times New Roman"/>
          <w:sz w:val="24"/>
          <w:szCs w:val="24"/>
        </w:rPr>
        <w:t>e preduzetništvom ili povećati šanse za uspeh preduzetnika. Elementi tog ekosistema su pojedinci, organizacije, institucije, koje imaju zajednički cilj da razvijaju preduzetništvo. Deo tog ekosistema su naravno i sami preduzetnici.</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Retko se dešava da se pr</w:t>
      </w:r>
      <w:r>
        <w:rPr>
          <w:rFonts w:ascii="Times New Roman" w:hAnsi="Times New Roman"/>
          <w:sz w:val="24"/>
          <w:szCs w:val="24"/>
        </w:rPr>
        <w:t xml:space="preserve">eduzetnički duh i start-up kultura razviju delovanjem samo jednog subjekta. Naprotiv, potrebno je sadejstvo velikog broj učesnika. Lista učesnika nije ograničena i svi su dobrodošli.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Ovim dokumentom se preporučuju tri ključne mere za unapređenje preduzetn</w:t>
      </w:r>
      <w:r>
        <w:rPr>
          <w:rFonts w:ascii="Times New Roman" w:hAnsi="Times New Roman"/>
          <w:sz w:val="24"/>
          <w:szCs w:val="24"/>
        </w:rPr>
        <w:t>ičke kulture i zajednice Grada Niša:</w:t>
      </w:r>
    </w:p>
    <w:p w:rsidR="00064F9F" w:rsidRDefault="00A01281">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Sinergija akademske zajednice, poslovne zajednice i organa lokalne samouprave.</w:t>
      </w:r>
    </w:p>
    <w:p w:rsidR="00064F9F" w:rsidRDefault="00A01281">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Kreiranje ekosistema kao skupa svih zainteresovanih institucionalnih stejkholdera, pojedinaca, profesionalaca i inicijativa (organizacija ci</w:t>
      </w:r>
      <w:r>
        <w:rPr>
          <w:rFonts w:ascii="Times New Roman" w:hAnsi="Times New Roman"/>
          <w:sz w:val="24"/>
          <w:szCs w:val="24"/>
        </w:rPr>
        <w:t>vilnog društva, poslovnih asocijacija, inicijativa međunarodne saradnje, obrazovnih programa, formalnih i neformalnih profesionalnih grupacija).</w:t>
      </w:r>
    </w:p>
    <w:p w:rsidR="00064F9F" w:rsidRDefault="00A01281">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Osnivanje Fonda za finansiranje preduzetničkih inicijativa kao direktne finansijske podrške inovativnim preduze</w:t>
      </w:r>
      <w:r>
        <w:rPr>
          <w:rFonts w:ascii="Times New Roman" w:hAnsi="Times New Roman"/>
          <w:sz w:val="24"/>
          <w:szCs w:val="24"/>
        </w:rPr>
        <w:t xml:space="preserve">tničkim idejama.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Neophodno je u formalni proces obrazovanja uvesti preduzetništvo kao opcioni predmet, sekciju, dodatnu nastavu, kako bi mladi ljudi najpre stekli znanja o preduzetništvu, koje će kasnije primeniti u procesu obavljanja prakse u poslovnoj z</w:t>
      </w:r>
      <w:r>
        <w:rPr>
          <w:rFonts w:ascii="Times New Roman" w:hAnsi="Times New Roman"/>
          <w:sz w:val="24"/>
          <w:szCs w:val="24"/>
        </w:rPr>
        <w:t xml:space="preserve">ajednici i organima lokalne samouprave oblikovati u neophodne veštine. Na taj način dobijamo mlade ljude za koje je verovatnije da će se nakon procesa formalnog obrazovanja opredele za bavljenje preduzetništvom, odnosno da osnivaju sopstveni biznis. </w:t>
      </w:r>
    </w:p>
    <w:p w:rsidR="00064F9F" w:rsidRDefault="00064F9F">
      <w:pPr>
        <w:spacing w:after="0" w:line="360" w:lineRule="auto"/>
        <w:jc w:val="both"/>
        <w:rPr>
          <w:rFonts w:ascii="Times New Roman" w:hAnsi="Times New Roman"/>
          <w:sz w:val="24"/>
          <w:szCs w:val="24"/>
        </w:rPr>
      </w:pP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lastRenderedPageBreak/>
        <w:t>Dakl</w:t>
      </w:r>
      <w:r>
        <w:rPr>
          <w:rFonts w:ascii="Times New Roman" w:hAnsi="Times New Roman"/>
          <w:sz w:val="24"/>
          <w:szCs w:val="24"/>
        </w:rPr>
        <w:t xml:space="preserve">e, </w:t>
      </w:r>
      <w:r>
        <w:rPr>
          <w:rFonts w:ascii="Times New Roman" w:hAnsi="Times New Roman"/>
          <w:b/>
          <w:sz w:val="24"/>
          <w:szCs w:val="24"/>
        </w:rPr>
        <w:t>prva mera</w:t>
      </w:r>
      <w:r>
        <w:rPr>
          <w:rFonts w:ascii="Times New Roman" w:hAnsi="Times New Roman"/>
          <w:sz w:val="24"/>
          <w:szCs w:val="24"/>
        </w:rPr>
        <w:t xml:space="preserve"> bi bila organizovano uvođenje predmeta preduzetništvo u srednje, više škole i fakultete, posebno u obrazovne programe koji se tiču savremenih tehnologija, poput elektrotehnike, mašinstva, računarskih nauka i sl. Ali ne manje važno je uključiti</w:t>
      </w:r>
      <w:r>
        <w:rPr>
          <w:rFonts w:ascii="Times New Roman" w:hAnsi="Times New Roman"/>
          <w:sz w:val="24"/>
          <w:szCs w:val="24"/>
        </w:rPr>
        <w:t xml:space="preserve"> u preduzetničku edukaciju i druge obrazovne profile poput društveno-humanističkih nauka, za koje su radna mesta na tržištu rada deficitarna.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 xml:space="preserve">Kreiranje preduzetničkog ekosistema, kao </w:t>
      </w:r>
      <w:r>
        <w:rPr>
          <w:rFonts w:ascii="Times New Roman" w:hAnsi="Times New Roman"/>
          <w:b/>
          <w:sz w:val="24"/>
          <w:szCs w:val="24"/>
        </w:rPr>
        <w:t>druge mere</w:t>
      </w:r>
      <w:r>
        <w:rPr>
          <w:rFonts w:ascii="Times New Roman" w:hAnsi="Times New Roman"/>
          <w:sz w:val="24"/>
          <w:szCs w:val="24"/>
        </w:rPr>
        <w:t>, je važna dimenzija za rešenje problema, jer predstavlja sist</w:t>
      </w:r>
      <w:r>
        <w:rPr>
          <w:rFonts w:ascii="Times New Roman" w:hAnsi="Times New Roman"/>
          <w:sz w:val="24"/>
          <w:szCs w:val="24"/>
        </w:rPr>
        <w:t>emski pristup poslovanju i samozapošljavanju. Formiranje ekosistema je u skladu sa merom iz Akcionog plana održivog razvoja Grada Niša 2015-2020. kojom se predviđa umrežavanje svih stejkholdera. U ovom koraku naročito je važna podrška lokalnih donosilaca o</w:t>
      </w:r>
      <w:r>
        <w:rPr>
          <w:rFonts w:ascii="Times New Roman" w:hAnsi="Times New Roman"/>
          <w:sz w:val="24"/>
          <w:szCs w:val="24"/>
        </w:rPr>
        <w:t xml:space="preserve">dluka, jer su se do sada ovakvi ekosistemi u razvoju preduzetničke kulture i preduzetničkih poduhvata, oslanjali na malobrojne partnere, uglavnom iz donatorske zajednice. </w:t>
      </w:r>
    </w:p>
    <w:p w:rsidR="00064F9F" w:rsidRDefault="00A01281">
      <w:pPr>
        <w:spacing w:after="0" w:line="360" w:lineRule="auto"/>
        <w:jc w:val="both"/>
        <w:rPr>
          <w:rFonts w:ascii="Times New Roman" w:hAnsi="Times New Roman"/>
          <w:sz w:val="24"/>
          <w:szCs w:val="24"/>
        </w:rPr>
      </w:pPr>
      <w:r>
        <w:rPr>
          <w:rFonts w:ascii="Times New Roman" w:hAnsi="Times New Roman"/>
          <w:b/>
          <w:sz w:val="24"/>
          <w:szCs w:val="24"/>
        </w:rPr>
        <w:t>Treća mera</w:t>
      </w:r>
      <w:r>
        <w:rPr>
          <w:rFonts w:ascii="Times New Roman" w:hAnsi="Times New Roman"/>
          <w:sz w:val="24"/>
          <w:szCs w:val="24"/>
        </w:rPr>
        <w:t xml:space="preserve"> je osnivanje Fonda za finansiranje preduzetničkih inicijativa, od strane preduzetničkog ekosistema, sa ciljem povećanja dostupnosti finansijama za pokretanje ili unapređenje sopstvenog biznisa. Članice preduzetničkog ekosistema bi u skladu sa svojom delat</w:t>
      </w:r>
      <w:r>
        <w:rPr>
          <w:rFonts w:ascii="Times New Roman" w:hAnsi="Times New Roman"/>
          <w:sz w:val="24"/>
          <w:szCs w:val="24"/>
        </w:rPr>
        <w:t xml:space="preserve">nošću vršiti savetodavnu, analitičku, evaluacionu i dr. ulogu u proceni tržišnih potreba i mogućnosti, kako bi se povećala preduzetnička zajednica Grada Niša i njena efikasnost.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Imajući u vidu, da se Akcionim planom održivog razvoja Grada Niša, u stratešk</w:t>
      </w:r>
      <w:r>
        <w:rPr>
          <w:rFonts w:ascii="Times New Roman" w:hAnsi="Times New Roman"/>
          <w:sz w:val="24"/>
          <w:szCs w:val="24"/>
        </w:rPr>
        <w:t xml:space="preserve">om pravcu 2, specifičnom cilju 2.1.1 predviđa uspostavljanje razvojnog fonda Grada za finansiranje preduzetništva i regionalnog garancijskog fonda, treća mera je i obaveza lokalne samouprave Grada Niša. </w:t>
      </w: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Efikasno sprovođenje svih navedenih mera neminovno ć</w:t>
      </w:r>
      <w:r>
        <w:rPr>
          <w:rFonts w:ascii="Times New Roman" w:hAnsi="Times New Roman"/>
          <w:sz w:val="24"/>
          <w:szCs w:val="24"/>
        </w:rPr>
        <w:t xml:space="preserve">e dovesti do razvoja preduzetničke kulture, promocije preduzetničkih vrednosti, a najvažnije, većeg broja preduzetničkih biznisa koji će svojim poslovanjem unaprediti ekonomiju zajednice u celini. </w:t>
      </w:r>
    </w:p>
    <w:p w:rsidR="00064F9F" w:rsidRDefault="00064F9F">
      <w:pPr>
        <w:spacing w:after="0" w:line="360" w:lineRule="auto"/>
        <w:jc w:val="both"/>
        <w:outlineLvl w:val="1"/>
        <w:rPr>
          <w:rFonts w:ascii="Times New Roman" w:eastAsia="Times New Roman" w:hAnsi="Times New Roman"/>
          <w:b/>
          <w:bCs/>
          <w:i/>
          <w:sz w:val="24"/>
          <w:szCs w:val="24"/>
          <w:lang w:eastAsia="en-GB"/>
        </w:rPr>
      </w:pPr>
    </w:p>
    <w:p w:rsidR="00064F9F" w:rsidRDefault="00A01281">
      <w:pPr>
        <w:spacing w:after="0" w:line="360" w:lineRule="auto"/>
        <w:jc w:val="both"/>
        <w:outlineLvl w:val="1"/>
        <w:rPr>
          <w:rFonts w:ascii="Times New Roman" w:eastAsia="Times New Roman" w:hAnsi="Times New Roman"/>
          <w:b/>
          <w:bCs/>
          <w:i/>
          <w:sz w:val="24"/>
          <w:szCs w:val="24"/>
          <w:lang w:eastAsia="en-GB"/>
        </w:rPr>
      </w:pPr>
      <w:r>
        <w:rPr>
          <w:rFonts w:ascii="Times New Roman" w:eastAsia="Times New Roman" w:hAnsi="Times New Roman"/>
          <w:b/>
          <w:bCs/>
          <w:i/>
          <w:sz w:val="24"/>
          <w:szCs w:val="24"/>
          <w:lang w:eastAsia="en-GB"/>
        </w:rPr>
        <w:t>Preduzetništvo u Srbiji - usklađenost preporuka sa razvoj</w:t>
      </w:r>
      <w:r>
        <w:rPr>
          <w:rFonts w:ascii="Times New Roman" w:eastAsia="Times New Roman" w:hAnsi="Times New Roman"/>
          <w:b/>
          <w:bCs/>
          <w:i/>
          <w:sz w:val="24"/>
          <w:szCs w:val="24"/>
          <w:lang w:eastAsia="en-GB"/>
        </w:rPr>
        <w:t>nim aktima</w:t>
      </w:r>
    </w:p>
    <w:p w:rsidR="00064F9F" w:rsidRDefault="00A01281">
      <w:pPr>
        <w:spacing w:after="0" w:line="360" w:lineRule="auto"/>
        <w:jc w:val="both"/>
        <w:outlineLvl w:val="1"/>
        <w:rPr>
          <w:rFonts w:ascii="Times New Roman" w:eastAsia="Times New Roman" w:hAnsi="Times New Roman"/>
          <w:b/>
          <w:bCs/>
          <w:color w:val="FF0000"/>
          <w:sz w:val="24"/>
          <w:szCs w:val="24"/>
          <w:lang w:eastAsia="en-GB"/>
        </w:rPr>
      </w:pPr>
      <w:r>
        <w:rPr>
          <w:rFonts w:ascii="Times New Roman" w:eastAsia="Times New Roman" w:hAnsi="Times New Roman"/>
          <w:b/>
          <w:bCs/>
          <w:color w:val="FF0000"/>
          <w:sz w:val="24"/>
          <w:szCs w:val="24"/>
          <w:lang w:eastAsia="en-GB"/>
        </w:rPr>
        <w:t>Sve mere usklađene su i sa planovima u oblasti preduzetništva na republičkom i lokalnom nivou Grada Niša</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Godina 2016. proglašena je godinom preduzetništva u Srbiji. Država je obezbedila paket mera koji imaju za cilj </w:t>
      </w:r>
      <w:r>
        <w:rPr>
          <w:rFonts w:ascii="Times New Roman" w:eastAsia="Times New Roman" w:hAnsi="Times New Roman"/>
          <w:bCs/>
          <w:i/>
          <w:sz w:val="24"/>
          <w:szCs w:val="24"/>
          <w:lang w:eastAsia="en-GB"/>
        </w:rPr>
        <w:t xml:space="preserve">da se ojačaju preduzetničke snage, pomogne preduzetnicima koji počinju posao ili su </w:t>
      </w:r>
      <w:r>
        <w:rPr>
          <w:rFonts w:ascii="Times New Roman" w:eastAsia="Times New Roman" w:hAnsi="Times New Roman"/>
          <w:bCs/>
          <w:i/>
          <w:sz w:val="24"/>
          <w:szCs w:val="24"/>
          <w:lang w:eastAsia="en-GB"/>
        </w:rPr>
        <w:lastRenderedPageBreak/>
        <w:t>ga, do određenog nivoa, već razvili i pruži finansijski i nefinansijski oslonac za dugoročni razvoj preduzetničkog duha</w:t>
      </w:r>
      <w:r>
        <w:rPr>
          <w:rFonts w:ascii="Times New Roman" w:eastAsia="Times New Roman" w:hAnsi="Times New Roman"/>
          <w:bCs/>
          <w:sz w:val="24"/>
          <w:szCs w:val="24"/>
          <w:lang w:eastAsia="en-GB"/>
        </w:rPr>
        <w:t>. Omladinsko preduzetništvo i razvoj preduzetničkog d</w:t>
      </w:r>
      <w:r>
        <w:rPr>
          <w:rFonts w:ascii="Times New Roman" w:eastAsia="Times New Roman" w:hAnsi="Times New Roman"/>
          <w:bCs/>
          <w:sz w:val="24"/>
          <w:szCs w:val="24"/>
          <w:lang w:eastAsia="en-GB"/>
        </w:rPr>
        <w:t xml:space="preserve">uha kod mladih je jedan od fokusa „Godine preduzetništva“, posebno u oblasti edukacije i promocije.  </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Republika Srbija je usvojila važna dokumenta u kojima se između ostalog definišu preduzetništvo, obrazovanje i posebno zapošljavanje mladih. Takođe, Grad </w:t>
      </w:r>
      <w:r>
        <w:rPr>
          <w:rFonts w:ascii="Times New Roman" w:eastAsia="Times New Roman" w:hAnsi="Times New Roman"/>
          <w:bCs/>
          <w:sz w:val="24"/>
          <w:szCs w:val="24"/>
          <w:lang w:eastAsia="en-GB"/>
        </w:rPr>
        <w:t xml:space="preserve">Niš je u skladu sa nacionalnim dokumentima usvojio Akcioni plan održivog razvoja Grada Niša za period 2015-2020. godine, kao i Strategiju brige o mladima 2015-2020. koja jasno definiše potrebu osnaživanja mladih za preduzetništvo. </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
          <w:bCs/>
          <w:sz w:val="24"/>
          <w:szCs w:val="24"/>
          <w:lang w:eastAsia="en-GB"/>
        </w:rPr>
        <w:t>Strategija za podršku ra</w:t>
      </w:r>
      <w:r>
        <w:rPr>
          <w:rFonts w:ascii="Times New Roman" w:eastAsia="Times New Roman" w:hAnsi="Times New Roman"/>
          <w:b/>
          <w:bCs/>
          <w:sz w:val="24"/>
          <w:szCs w:val="24"/>
          <w:lang w:eastAsia="en-GB"/>
        </w:rPr>
        <w:t>zvoja malih i srednjih preduzeća, preduzetništva i konkurentnosti za period od 2015. do 2020 godine</w:t>
      </w:r>
      <w:r>
        <w:rPr>
          <w:rFonts w:ascii="Times New Roman" w:eastAsia="Times New Roman" w:hAnsi="Times New Roman"/>
          <w:bCs/>
          <w:color w:val="000000"/>
          <w:sz w:val="24"/>
          <w:szCs w:val="24"/>
          <w:lang w:eastAsia="en-GB"/>
        </w:rPr>
        <w:t xml:space="preserve">.  </w:t>
      </w:r>
      <w:r>
        <w:rPr>
          <w:rFonts w:ascii="Times New Roman" w:eastAsia="Times New Roman" w:hAnsi="Times New Roman"/>
          <w:bCs/>
          <w:i/>
          <w:noProof/>
          <w:color w:val="000000"/>
          <w:sz w:val="24"/>
          <w:szCs w:val="24"/>
          <w:lang w:eastAsia="en-GB"/>
        </w:rPr>
        <w:t>Preduslov za ostvarivanje održivog društveno-ekonomskog razvoja i uspešan završetak procesa evropskih integracija Republike Srbije je razvoj privrede, koj</w:t>
      </w:r>
      <w:r>
        <w:rPr>
          <w:rFonts w:ascii="Times New Roman" w:eastAsia="Times New Roman" w:hAnsi="Times New Roman"/>
          <w:bCs/>
          <w:i/>
          <w:noProof/>
          <w:color w:val="000000"/>
          <w:sz w:val="24"/>
          <w:szCs w:val="24"/>
          <w:lang w:eastAsia="en-GB"/>
        </w:rPr>
        <w:t xml:space="preserve">a svoju dugoročnu konkurentnost gradi na privatnoj preduzetničkoj inicijativi, znanju, primeni novih tehnologija i inovativnosti. </w:t>
      </w:r>
    </w:p>
    <w:p w:rsidR="00064F9F" w:rsidRDefault="00A01281">
      <w:pPr>
        <w:spacing w:after="0" w:line="360" w:lineRule="auto"/>
        <w:jc w:val="both"/>
        <w:outlineLvl w:val="1"/>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 xml:space="preserve">Jedan od 6 strateških ciljeva u okviru Strategije je </w:t>
      </w:r>
      <w:r>
        <w:rPr>
          <w:rFonts w:ascii="Times New Roman" w:eastAsia="Times New Roman" w:hAnsi="Times New Roman"/>
          <w:bCs/>
          <w:i/>
          <w:noProof/>
          <w:sz w:val="24"/>
          <w:szCs w:val="24"/>
          <w:lang w:eastAsia="en-GB"/>
        </w:rPr>
        <w:t xml:space="preserve">razvoj i promocija preduzetničkog duha i podsticanje preduzetništva </w:t>
      </w:r>
      <w:r>
        <w:rPr>
          <w:rFonts w:ascii="Times New Roman" w:eastAsia="Times New Roman" w:hAnsi="Times New Roman"/>
          <w:bCs/>
          <w:i/>
          <w:noProof/>
          <w:sz w:val="24"/>
          <w:szCs w:val="24"/>
          <w:lang w:eastAsia="en-GB"/>
        </w:rPr>
        <w:t>žena, mladih i socijalnog preduzetništva.</w:t>
      </w:r>
      <w:r>
        <w:rPr>
          <w:rFonts w:ascii="Times New Roman" w:eastAsia="Times New Roman" w:hAnsi="Times New Roman"/>
          <w:bCs/>
          <w:noProof/>
          <w:sz w:val="24"/>
          <w:szCs w:val="24"/>
          <w:lang w:eastAsia="en-GB"/>
        </w:rPr>
        <w:t xml:space="preserve"> </w:t>
      </w:r>
    </w:p>
    <w:p w:rsidR="00064F9F" w:rsidRDefault="00A01281">
      <w:pPr>
        <w:spacing w:after="0" w:line="360" w:lineRule="auto"/>
        <w:jc w:val="both"/>
        <w:outlineLvl w:val="1"/>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U Strategiji se apostrofira činjenica da je većina mladih dugoročno nezaposlena, da je veliki broj uključen u neformalno tržište rada, a samo 11% opredeljuje se za samozapošljavanje. Ipak, u strategiji se zaključu</w:t>
      </w:r>
      <w:r>
        <w:rPr>
          <w:rFonts w:ascii="Times New Roman" w:eastAsia="Times New Roman" w:hAnsi="Times New Roman"/>
          <w:bCs/>
          <w:noProof/>
          <w:sz w:val="24"/>
          <w:szCs w:val="24"/>
          <w:lang w:eastAsia="en-GB"/>
        </w:rPr>
        <w:t>je isto što se analizira u ovom dokumentu, da su mladi zainteresovani za razvijanje sopstvenog poslovanja ukoliko im se omogući dodatna edukacija o preduzetništvu. Takođe, ovaj dokument je u potpunosti u skladu sa zaključkom u Stretigiji da se mladi suočav</w:t>
      </w:r>
      <w:r>
        <w:rPr>
          <w:rFonts w:ascii="Times New Roman" w:eastAsia="Times New Roman" w:hAnsi="Times New Roman"/>
          <w:bCs/>
          <w:noProof/>
          <w:sz w:val="24"/>
          <w:szCs w:val="24"/>
          <w:lang w:eastAsia="en-GB"/>
        </w:rPr>
        <w:t xml:space="preserve">aju sa problemom nerazvijenih preduzetničkih veština, što je rezultat nepostojanja adekvatnih obrazovnih programa u srednjim školama i na univerzitetima. </w:t>
      </w: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
          <w:bCs/>
          <w:sz w:val="24"/>
          <w:szCs w:val="24"/>
          <w:lang w:eastAsia="en-GB"/>
        </w:rPr>
        <w:t xml:space="preserve">Nacionalna strategija za mlade za period od 2015-2025 </w:t>
      </w:r>
      <w:r>
        <w:rPr>
          <w:rFonts w:ascii="Times New Roman" w:eastAsia="Times New Roman" w:hAnsi="Times New Roman"/>
          <w:bCs/>
          <w:sz w:val="24"/>
          <w:szCs w:val="24"/>
          <w:lang w:eastAsia="en-GB"/>
        </w:rPr>
        <w:t>jedan od osnovnih strateških ciljeva je zapošlj</w:t>
      </w:r>
      <w:r>
        <w:rPr>
          <w:rFonts w:ascii="Times New Roman" w:eastAsia="Times New Roman" w:hAnsi="Times New Roman"/>
          <w:bCs/>
          <w:sz w:val="24"/>
          <w:szCs w:val="24"/>
          <w:lang w:eastAsia="en-GB"/>
        </w:rPr>
        <w:t>avanje i preduzetništvo mladih. Neki od specifičnih su omogućeni podsticajni uslovi za razvoj preduzetništva mladih, razvijen funkcionalan i održiv sistem karijernog vođenja i savetovanja mladih. Za ovaj cilj jedna od prvih aktivnosti je osnivanje Nacional</w:t>
      </w:r>
      <w:r>
        <w:rPr>
          <w:rFonts w:ascii="Times New Roman" w:eastAsia="Times New Roman" w:hAnsi="Times New Roman"/>
          <w:bCs/>
          <w:sz w:val="24"/>
          <w:szCs w:val="24"/>
          <w:lang w:eastAsia="en-GB"/>
        </w:rPr>
        <w:t xml:space="preserve">nog resursnog centra za KVIS. </w:t>
      </w: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064F9F">
      <w:pPr>
        <w:spacing w:after="0" w:line="360" w:lineRule="auto"/>
        <w:jc w:val="both"/>
        <w:outlineLvl w:val="1"/>
        <w:rPr>
          <w:rFonts w:ascii="Times New Roman" w:eastAsia="Times New Roman" w:hAnsi="Times New Roman"/>
          <w:b/>
          <w:bCs/>
          <w:sz w:val="24"/>
          <w:szCs w:val="24"/>
          <w:lang w:eastAsia="en-GB"/>
        </w:rPr>
      </w:pPr>
    </w:p>
    <w:p w:rsidR="00064F9F" w:rsidRDefault="00A01281">
      <w:p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
          <w:bCs/>
          <w:sz w:val="24"/>
          <w:szCs w:val="24"/>
          <w:lang w:eastAsia="en-GB"/>
        </w:rPr>
        <w:lastRenderedPageBreak/>
        <w:t xml:space="preserve">Akcioni plan održivog razvoja grada Niša 2015-2020 </w:t>
      </w:r>
      <w:r>
        <w:rPr>
          <w:rFonts w:ascii="Times New Roman" w:eastAsia="Times New Roman" w:hAnsi="Times New Roman"/>
          <w:bCs/>
          <w:sz w:val="24"/>
          <w:szCs w:val="24"/>
          <w:lang w:eastAsia="en-GB"/>
        </w:rPr>
        <w:t xml:space="preserve">osnovni pravac 2: razvoj ekonomije i poslovanja. Specifični ciljevi: </w:t>
      </w:r>
    </w:p>
    <w:p w:rsidR="00064F9F" w:rsidRDefault="00A01281">
      <w:pPr>
        <w:pStyle w:val="ListParagraph"/>
        <w:numPr>
          <w:ilvl w:val="0"/>
          <w:numId w:val="7"/>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2.1. uspostavljanje i promovisanje modela finansijske i institucionalne podrške za razvoj preduzetništ</w:t>
      </w:r>
      <w:r>
        <w:rPr>
          <w:rFonts w:ascii="Times New Roman" w:eastAsia="Times New Roman" w:hAnsi="Times New Roman"/>
          <w:bCs/>
          <w:sz w:val="24"/>
          <w:szCs w:val="24"/>
          <w:lang w:eastAsia="en-GB"/>
        </w:rPr>
        <w:t xml:space="preserve">va. </w:t>
      </w:r>
    </w:p>
    <w:p w:rsidR="00064F9F" w:rsidRDefault="00A01281">
      <w:pPr>
        <w:pStyle w:val="ListParagraph"/>
        <w:numPr>
          <w:ilvl w:val="0"/>
          <w:numId w:val="2"/>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2.1.1 uspostavljanje razvojnog fonda grada za finansiranje razvoja preduzetništva i regionalnog garancijskog fonda </w:t>
      </w:r>
    </w:p>
    <w:p w:rsidR="00064F9F" w:rsidRDefault="00A01281">
      <w:pPr>
        <w:pStyle w:val="ListParagraph"/>
        <w:numPr>
          <w:ilvl w:val="0"/>
          <w:numId w:val="2"/>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2.1.2 kreiranje mreže institucija za podsticanje i razvoj preduzetništva i podrška umrežavanju MSP sektora. </w:t>
      </w:r>
    </w:p>
    <w:p w:rsidR="00064F9F" w:rsidRDefault="00A01281">
      <w:pPr>
        <w:pStyle w:val="ListParagraph"/>
        <w:numPr>
          <w:ilvl w:val="0"/>
          <w:numId w:val="2"/>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2.5 promocija preduzetništ</w:t>
      </w:r>
      <w:r>
        <w:rPr>
          <w:rFonts w:ascii="Times New Roman" w:eastAsia="Times New Roman" w:hAnsi="Times New Roman"/>
          <w:bCs/>
          <w:sz w:val="24"/>
          <w:szCs w:val="24"/>
          <w:lang w:eastAsia="en-GB"/>
        </w:rPr>
        <w:t>va, programi samozapošljavanje i podrška inicijativama pojedinaca.</w:t>
      </w:r>
      <w:r>
        <w:rPr>
          <w:rFonts w:ascii="Times New Roman" w:eastAsia="Times New Roman" w:hAnsi="Times New Roman"/>
          <w:b/>
          <w:bCs/>
          <w:sz w:val="24"/>
          <w:szCs w:val="24"/>
          <w:lang w:eastAsia="en-GB"/>
        </w:rPr>
        <w:t xml:space="preserve"> </w:t>
      </w:r>
    </w:p>
    <w:p w:rsidR="00064F9F" w:rsidRDefault="00A01281">
      <w:pPr>
        <w:pStyle w:val="ListParagraph"/>
        <w:numPr>
          <w:ilvl w:val="0"/>
          <w:numId w:val="2"/>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2.5.1 programi podizanja konkurentnosti ljudskih resursa kroz permanentno obrazovanje, specijalizaciju, doškolovavanje, dokvalifikacije i prekvalifikacije.</w:t>
      </w:r>
    </w:p>
    <w:p w:rsidR="00064F9F" w:rsidRDefault="00A01281">
      <w:pPr>
        <w:pStyle w:val="ListParagraph"/>
        <w:numPr>
          <w:ilvl w:val="0"/>
          <w:numId w:val="2"/>
        </w:numPr>
        <w:spacing w:after="0" w:line="360" w:lineRule="auto"/>
        <w:jc w:val="both"/>
        <w:outlineLvl w:val="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2.5.4 programi stimulisanja pred</w:t>
      </w:r>
      <w:r>
        <w:rPr>
          <w:rFonts w:ascii="Times New Roman" w:eastAsia="Times New Roman" w:hAnsi="Times New Roman"/>
          <w:bCs/>
          <w:sz w:val="24"/>
          <w:szCs w:val="24"/>
          <w:lang w:eastAsia="en-GB"/>
        </w:rPr>
        <w:t xml:space="preserve">uzetnika za zapošljavanje diplomiranih visokoškolaca, posebno onih koji prvi put traže zaposlenje. </w:t>
      </w:r>
    </w:p>
    <w:p w:rsidR="00064F9F" w:rsidRDefault="00A01281">
      <w:pPr>
        <w:pStyle w:val="ListParagraph"/>
        <w:numPr>
          <w:ilvl w:val="0"/>
          <w:numId w:val="2"/>
        </w:numPr>
        <w:spacing w:after="0" w:line="360" w:lineRule="auto"/>
        <w:jc w:val="both"/>
        <w:outlineLvl w:val="1"/>
        <w:rPr>
          <w:rFonts w:ascii="Times New Roman" w:eastAsia="Times New Roman" w:hAnsi="Times New Roman"/>
          <w:b/>
          <w:bCs/>
          <w:sz w:val="24"/>
          <w:szCs w:val="24"/>
          <w:lang w:eastAsia="en-GB"/>
        </w:rPr>
      </w:pPr>
      <w:r>
        <w:rPr>
          <w:rFonts w:ascii="Times New Roman" w:eastAsia="Times New Roman" w:hAnsi="Times New Roman"/>
          <w:bCs/>
          <w:sz w:val="24"/>
          <w:szCs w:val="24"/>
          <w:lang w:eastAsia="en-GB"/>
        </w:rPr>
        <w:t>2.5.5. programi aktivnih mera podrške zapošljavanju i formiranje mreže institucija za podršku zapošljavanju</w:t>
      </w:r>
    </w:p>
    <w:p w:rsidR="00064F9F" w:rsidRDefault="00064F9F">
      <w:pPr>
        <w:spacing w:after="0" w:line="360" w:lineRule="auto"/>
        <w:jc w:val="both"/>
        <w:rPr>
          <w:rFonts w:ascii="Times New Roman" w:hAnsi="Times New Roman"/>
          <w:b/>
          <w:i/>
          <w:sz w:val="24"/>
          <w:szCs w:val="24"/>
        </w:rPr>
      </w:pPr>
    </w:p>
    <w:p w:rsidR="00064F9F" w:rsidRDefault="00A01281">
      <w:pPr>
        <w:spacing w:after="0" w:line="360" w:lineRule="auto"/>
        <w:jc w:val="both"/>
        <w:rPr>
          <w:rFonts w:ascii="Times New Roman" w:hAnsi="Times New Roman"/>
          <w:sz w:val="24"/>
          <w:szCs w:val="24"/>
        </w:rPr>
      </w:pPr>
      <w:r>
        <w:rPr>
          <w:rFonts w:ascii="Times New Roman" w:hAnsi="Times New Roman"/>
          <w:sz w:val="24"/>
          <w:szCs w:val="24"/>
        </w:rPr>
        <w:t>Pozivamo nadležne gradske institucije, Univerzi</w:t>
      </w:r>
      <w:r>
        <w:rPr>
          <w:rFonts w:ascii="Times New Roman" w:hAnsi="Times New Roman"/>
          <w:sz w:val="24"/>
          <w:szCs w:val="24"/>
        </w:rPr>
        <w:t>tet, privatni sektor, organizacije civilnog društva, građane i građanke Niša, da se udruže u zajedničkom delovanju sa ciljem implementacije usvojenih akcionih planova Grada i stvaranja boljeg ekonomskog i socijalnog okruženja. Želja nam je da se što više m</w:t>
      </w:r>
      <w:r>
        <w:rPr>
          <w:rFonts w:ascii="Times New Roman" w:hAnsi="Times New Roman"/>
          <w:sz w:val="24"/>
          <w:szCs w:val="24"/>
        </w:rPr>
        <w:t>ladih ljudi odluči da pokrene svoj biznis, ostane u svojoj zajednici, zaposli svoje druge vredne kolege i tako zajednički doprinese rastu njene ekonomije, a samim tim i njenom razvoju u celini.</w:t>
      </w:r>
    </w:p>
    <w:p w:rsidR="00064F9F" w:rsidRDefault="00064F9F">
      <w:pPr>
        <w:spacing w:after="0"/>
        <w:jc w:val="both"/>
        <w:rPr>
          <w:rFonts w:ascii="Times New Roman" w:hAnsi="Times New Roman"/>
          <w:sz w:val="24"/>
          <w:szCs w:val="24"/>
        </w:rPr>
      </w:pPr>
    </w:p>
    <w:p w:rsidR="00064F9F" w:rsidRDefault="00064F9F">
      <w:pPr>
        <w:spacing w:after="0" w:line="360" w:lineRule="auto"/>
        <w:jc w:val="both"/>
        <w:rPr>
          <w:rFonts w:ascii="Times New Roman" w:hAnsi="Times New Roman"/>
          <w:sz w:val="24"/>
          <w:szCs w:val="24"/>
        </w:rPr>
      </w:pPr>
    </w:p>
    <w:p w:rsidR="00064F9F" w:rsidRDefault="00064F9F">
      <w:pPr>
        <w:spacing w:after="0" w:line="360" w:lineRule="auto"/>
        <w:jc w:val="both"/>
        <w:rPr>
          <w:rFonts w:ascii="Times New Roman" w:hAnsi="Times New Roman"/>
          <w:sz w:val="24"/>
          <w:szCs w:val="24"/>
        </w:rPr>
      </w:pPr>
    </w:p>
    <w:p w:rsidR="00064F9F" w:rsidRDefault="00064F9F">
      <w:pPr>
        <w:spacing w:after="0" w:line="360" w:lineRule="auto"/>
        <w:jc w:val="both"/>
        <w:rPr>
          <w:rFonts w:ascii="Times New Roman" w:hAnsi="Times New Roman"/>
          <w:sz w:val="24"/>
          <w:szCs w:val="24"/>
        </w:rPr>
      </w:pPr>
    </w:p>
    <w:p w:rsidR="00064F9F" w:rsidRDefault="00064F9F">
      <w:pPr>
        <w:spacing w:after="0" w:line="360" w:lineRule="auto"/>
        <w:jc w:val="both"/>
        <w:rPr>
          <w:rFonts w:ascii="Times New Roman" w:hAnsi="Times New Roman"/>
          <w:sz w:val="24"/>
          <w:szCs w:val="24"/>
        </w:rPr>
      </w:pPr>
    </w:p>
    <w:p w:rsidR="00064F9F" w:rsidRDefault="00064F9F">
      <w:pPr>
        <w:spacing w:after="0" w:line="360" w:lineRule="auto"/>
        <w:jc w:val="both"/>
        <w:rPr>
          <w:rFonts w:ascii="Times New Roman" w:hAnsi="Times New Roman"/>
          <w:sz w:val="24"/>
          <w:szCs w:val="24"/>
        </w:rPr>
      </w:pPr>
    </w:p>
    <w:p w:rsidR="00064F9F" w:rsidRDefault="00064F9F">
      <w:pPr>
        <w:spacing w:after="0" w:line="360" w:lineRule="auto"/>
        <w:jc w:val="both"/>
        <w:rPr>
          <w:rFonts w:ascii="Times New Roman" w:hAnsi="Times New Roman"/>
          <w:sz w:val="24"/>
          <w:szCs w:val="24"/>
        </w:rPr>
      </w:pPr>
    </w:p>
    <w:p w:rsidR="00064F9F" w:rsidRDefault="00A01281">
      <w:pPr>
        <w:pStyle w:val="TOCHeading"/>
        <w:spacing w:before="0" w:line="360" w:lineRule="auto"/>
        <w:rPr>
          <w:rFonts w:ascii="Times New Roman" w:eastAsia="Times New Roman" w:hAnsi="Times New Roman" w:cs="Times New Roman"/>
          <w:b/>
          <w:color w:val="auto"/>
          <w:sz w:val="28"/>
          <w:szCs w:val="28"/>
          <w:lang w:eastAsia="en-GB"/>
        </w:rPr>
      </w:pPr>
      <w:r>
        <w:rPr>
          <w:rFonts w:ascii="Times New Roman" w:eastAsia="Times New Roman" w:hAnsi="Times New Roman" w:cs="Times New Roman"/>
          <w:b/>
          <w:color w:val="auto"/>
          <w:sz w:val="28"/>
          <w:szCs w:val="28"/>
          <w:lang w:eastAsia="en-GB"/>
        </w:rPr>
        <w:t xml:space="preserve">Literatura: </w:t>
      </w:r>
    </w:p>
    <w:p w:rsidR="00064F9F" w:rsidRDefault="00064F9F">
      <w:pPr>
        <w:spacing w:after="0"/>
        <w:jc w:val="both"/>
        <w:rPr>
          <w:rFonts w:ascii="Times New Roman" w:hAnsi="Times New Roman"/>
          <w:sz w:val="24"/>
          <w:szCs w:val="24"/>
        </w:rPr>
      </w:pPr>
    </w:p>
    <w:p w:rsidR="00064F9F" w:rsidRDefault="00064F9F"/>
    <w:p w:rsidR="00064F9F" w:rsidRDefault="00064F9F"/>
    <w:sectPr w:rsidR="00064F9F">
      <w:headerReference w:type="default" r:id="rId20"/>
      <w:footerReference w:type="default" r:id="rId21"/>
      <w:pgSz w:w="12240" w:h="15840"/>
      <w:pgMar w:top="1440" w:right="1440" w:bottom="1440" w:left="1440"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81" w:rsidRDefault="00A01281">
      <w:pPr>
        <w:spacing w:after="0" w:line="240" w:lineRule="auto"/>
      </w:pPr>
      <w:r>
        <w:separator/>
      </w:r>
    </w:p>
  </w:endnote>
  <w:endnote w:type="continuationSeparator" w:id="0">
    <w:p w:rsidR="00A01281" w:rsidRDefault="00A0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9F" w:rsidRDefault="00A01281">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C206F">
      <w:rPr>
        <w:rFonts w:ascii="Times New Roman" w:hAnsi="Times New Roman"/>
        <w:noProof/>
      </w:rPr>
      <w:t>1</w:t>
    </w:r>
    <w:r>
      <w:rPr>
        <w:rFonts w:ascii="Times New Roman" w:hAnsi="Times New Roman"/>
        <w:noProof/>
      </w:rPr>
      <w:fldChar w:fldCharType="end"/>
    </w:r>
  </w:p>
  <w:p w:rsidR="00064F9F" w:rsidRDefault="00064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81" w:rsidRDefault="00A01281">
      <w:pPr>
        <w:spacing w:after="0" w:line="240" w:lineRule="auto"/>
      </w:pPr>
      <w:r>
        <w:separator/>
      </w:r>
    </w:p>
  </w:footnote>
  <w:footnote w:type="continuationSeparator" w:id="0">
    <w:p w:rsidR="00A01281" w:rsidRDefault="00A01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9F" w:rsidRDefault="00A01281">
    <w:pPr>
      <w:pStyle w:val="Header"/>
    </w:pPr>
    <w:r>
      <w:t xml:space="preserve">         </w:t>
    </w:r>
    <w:r>
      <w:rPr>
        <w:noProof/>
      </w:rPr>
      <w:drawing>
        <wp:inline distT="0" distB="0" distL="0" distR="0">
          <wp:extent cx="1440180" cy="830580"/>
          <wp:effectExtent l="0" t="0" r="7620" b="7620"/>
          <wp:docPr id="4097" name="Image1" descr="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1440180" cy="830580"/>
                  </a:xfrm>
                  <a:prstGeom prst="rect">
                    <a:avLst/>
                  </a:prstGeom>
                </pic:spPr>
              </pic:pic>
            </a:graphicData>
          </a:graphic>
        </wp:inline>
      </w:drawing>
    </w:r>
    <w:r>
      <w:t xml:space="preserve">                                                                                               </w:t>
    </w:r>
    <w:r>
      <w:rPr>
        <w:noProof/>
      </w:rPr>
      <w:drawing>
        <wp:inline distT="0" distB="0" distL="0" distR="0">
          <wp:extent cx="1158240" cy="822959"/>
          <wp:effectExtent l="0" t="0" r="3810" b="0"/>
          <wp:docPr id="4098" name="Image1" descr="pokreni-se-za-buducno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1158240" cy="822959"/>
                  </a:xfrm>
                  <a:prstGeom prst="rect">
                    <a:avLst/>
                  </a:prstGeom>
                </pic:spPr>
              </pic:pic>
            </a:graphicData>
          </a:graphic>
        </wp:inline>
      </w:drawing>
    </w:r>
  </w:p>
  <w:p w:rsidR="00064F9F" w:rsidRDefault="00064F9F">
    <w:pPr>
      <w:pStyle w:val="Header"/>
    </w:pPr>
  </w:p>
  <w:p w:rsidR="00064F9F" w:rsidRDefault="00064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2E1E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A4E2E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2"/>
    <w:multiLevelType w:val="hybridMultilevel"/>
    <w:tmpl w:val="F956E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3"/>
    <w:multiLevelType w:val="hybridMultilevel"/>
    <w:tmpl w:val="22F6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9046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01E2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D9D4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EA92A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hybridMultilevel"/>
    <w:tmpl w:val="D0C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multilevel"/>
    <w:tmpl w:val="AEF0BC44"/>
    <w:lvl w:ilvl="0">
      <w:start w:val="1"/>
      <w:numFmt w:val="decimal"/>
      <w:lvlText w:val="%1."/>
      <w:lvlJc w:val="left"/>
      <w:pPr>
        <w:ind w:left="720" w:hanging="360"/>
      </w:p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000000A"/>
    <w:multiLevelType w:val="hybridMultilevel"/>
    <w:tmpl w:val="1D76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00000B"/>
    <w:multiLevelType w:val="hybridMultilevel"/>
    <w:tmpl w:val="8E88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C"/>
    <w:multiLevelType w:val="multilevel"/>
    <w:tmpl w:val="AEF0BC44"/>
    <w:lvl w:ilvl="0">
      <w:start w:val="1"/>
      <w:numFmt w:val="decimal"/>
      <w:lvlText w:val="%1."/>
      <w:lvlJc w:val="left"/>
      <w:pPr>
        <w:ind w:left="720" w:hanging="360"/>
      </w:p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9"/>
  </w:num>
  <w:num w:numId="4">
    <w:abstractNumId w:val="1"/>
  </w:num>
  <w:num w:numId="5">
    <w:abstractNumId w:val="3"/>
  </w:num>
  <w:num w:numId="6">
    <w:abstractNumId w:val="11"/>
  </w:num>
  <w:num w:numId="7">
    <w:abstractNumId w:val="8"/>
  </w:num>
  <w:num w:numId="8">
    <w:abstractNumId w:val="4"/>
  </w:num>
  <w:num w:numId="9">
    <w:abstractNumId w:val="5"/>
  </w:num>
  <w:num w:numId="10">
    <w:abstractNumId w:val="1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9F"/>
    <w:rsid w:val="00064F9F"/>
    <w:rsid w:val="002C206F"/>
    <w:rsid w:val="00A012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BE3D55-C855-4BF0-B03A-2354AE1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ps">
    <w:name w:val="hps"/>
    <w:basedOn w:val="DefaultParagraphFont"/>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sz w:val="32"/>
      <w:szCs w:val="32"/>
      <w:lang w:eastAsia="en-US"/>
    </w:rPr>
  </w:style>
  <w:style w:type="paragraph" w:styleId="TOCHeading">
    <w:name w:val="TOC Heading"/>
    <w:basedOn w:val="Heading1"/>
    <w:next w:val="Normal"/>
    <w:uiPriority w:val="39"/>
    <w:qFormat/>
    <w:pPr>
      <w:spacing w:line="259" w:lineRule="auto"/>
      <w:outlineLvl w:val="9"/>
    </w:pPr>
  </w:style>
  <w:style w:type="paragraph" w:styleId="TOC2">
    <w:name w:val="toc 2"/>
    <w:basedOn w:val="Normal"/>
    <w:next w:val="Normal"/>
    <w:uiPriority w:val="39"/>
    <w:pPr>
      <w:spacing w:after="100"/>
      <w:ind w:left="220"/>
    </w:p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Pr>
      <w:i/>
      <w:iCs/>
      <w:color w:val="5B9BD5"/>
      <w:sz w:val="22"/>
      <w:szCs w:val="22"/>
      <w:lang w:eastAsia="en-US"/>
    </w:rPr>
  </w:style>
  <w:style w:type="paragraph" w:styleId="TOC1">
    <w:name w:val="toc 1"/>
    <w:basedOn w:val="Normal"/>
    <w:next w:val="Normal"/>
    <w:uiPriority w:val="39"/>
    <w:pPr>
      <w:spacing w:after="100" w:line="259" w:lineRule="auto"/>
    </w:pPr>
    <w:rPr>
      <w:rFonts w:asciiTheme="minorHAnsi" w:eastAsiaTheme="minorEastAsia" w:hAnsiTheme="minorHAnsi"/>
    </w:rPr>
  </w:style>
  <w:style w:type="paragraph" w:styleId="TOC3">
    <w:name w:val="toc 3"/>
    <w:basedOn w:val="Normal"/>
    <w:next w:val="Normal"/>
    <w:uiPriority w:val="39"/>
    <w:pPr>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hyperlink" Target="http://eng.ffe-ye.dk/the-foundation/about-the-foundat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s://libek.org.rs/uploads/files/1430826083.O7D72SKzVROwm9KG.pdf" TargetMode="External"/><Relationship Id="rId17" Type="http://schemas.openxmlformats.org/officeDocument/2006/relationships/hyperlink" Target="https://www.uns.ac.rs/index.php/c-nauka/transfer-c/start-spin-c" TargetMode="External"/><Relationship Id="rId2" Type="http://schemas.openxmlformats.org/officeDocument/2006/relationships/styles" Target="styles.xml"/><Relationship Id="rId16" Type="http://schemas.openxmlformats.org/officeDocument/2006/relationships/hyperlink" Target="http://www.srbijakakvuzelim.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nps.org.rs/wp-content/uploads/Sta-mladi-misle-o-preduzetnistvu_istrazivanje-Gradjanskih-iniijativa.pdf" TargetMode="Externa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s://thegedi.org/research/gedi-index/" TargetMode="External"/><Relationship Id="rId19" Type="http://schemas.openxmlformats.org/officeDocument/2006/relationships/hyperlink" Target="http://pks.rs/Vesti.aspx?IDVestiDogadjaji=19972"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crl.rs/konkursi/umrez%D0%B0v%D0%B0nje-%D0%B0k%D0%B0demske-i-poslovne-zajednice-iz-beogra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26013414989793"/>
          <c:y val="2.4399727811801303E-2"/>
          <c:w val="0.70777602799650041"/>
          <c:h val="0.84259050951964343"/>
        </c:manualLayout>
      </c:layout>
      <c:doughnutChart>
        <c:varyColors val="1"/>
        <c:ser>
          <c:idx val="0"/>
          <c:order val="0"/>
          <c:tx>
            <c:strRef>
              <c:f>Sheet1!$B$1</c:f>
              <c:strCache>
                <c:ptCount val="1"/>
                <c:pt idx="0">
                  <c:v>Column1</c:v>
                </c:pt>
              </c:strCache>
            </c:strRef>
          </c:tx>
          <c:explosion val="6"/>
          <c:dPt>
            <c:idx val="0"/>
            <c:bubble3D val="0"/>
            <c:spPr>
              <a:solidFill>
                <a:srgbClr val="FF0000"/>
              </a:solidFill>
              <a:ln w="19047">
                <a:solidFill>
                  <a:schemeClr val="lt1"/>
                </a:solidFill>
              </a:ln>
              <a:effectLst/>
            </c:spPr>
            <c:extLst xmlns:c16r2="http://schemas.microsoft.com/office/drawing/2015/06/chart">
              <c:ext xmlns:c16="http://schemas.microsoft.com/office/drawing/2014/chart" uri="{C3380CC4-5D6E-409C-BE32-E72D297353CC}">
                <c16:uniqueId val="{00000001-7D9F-407E-BDFE-D8420E68A40A}"/>
              </c:ext>
            </c:extLst>
          </c:dPt>
          <c:dPt>
            <c:idx val="1"/>
            <c:bubble3D val="0"/>
            <c:spPr>
              <a:solidFill>
                <a:srgbClr val="70AD47">
                  <a:lumMod val="60000"/>
                  <a:lumOff val="40000"/>
                </a:srgbClr>
              </a:solidFill>
              <a:ln w="19047">
                <a:solidFill>
                  <a:schemeClr val="lt1"/>
                </a:solidFill>
              </a:ln>
              <a:effectLst/>
            </c:spPr>
            <c:extLst xmlns:c16r2="http://schemas.microsoft.com/office/drawing/2015/06/chart">
              <c:ext xmlns:c16="http://schemas.microsoft.com/office/drawing/2014/chart" uri="{C3380CC4-5D6E-409C-BE32-E72D297353CC}">
                <c16:uniqueId val="{00000003-7D9F-407E-BDFE-D8420E68A40A}"/>
              </c:ext>
            </c:extLst>
          </c:dPt>
          <c:dLbls>
            <c:dLbl>
              <c:idx val="0"/>
              <c:layout>
                <c:manualLayout>
                  <c:x val="0.12942139255065027"/>
                  <c:y val="-3.7537537537537538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D9F-407E-BDFE-D8420E68A40A}"/>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Sheet1!$A$2:$A$3</c:f>
              <c:strCache>
                <c:ptCount val="2"/>
                <c:pt idx="0">
                  <c:v>opšta stopa nezaposlenosti</c:v>
                </c:pt>
                <c:pt idx="1">
                  <c:v>2nd Qtr</c:v>
                </c:pt>
              </c:strCache>
            </c:strRef>
          </c:cat>
          <c:val>
            <c:numRef>
              <c:f>Sheet1!$B$2:$B$3</c:f>
              <c:numCache>
                <c:formatCode>0%</c:formatCode>
                <c:ptCount val="2"/>
                <c:pt idx="0">
                  <c:v>0.19</c:v>
                </c:pt>
                <c:pt idx="1">
                  <c:v>0.81</c:v>
                </c:pt>
              </c:numCache>
            </c:numRef>
          </c:val>
          <c:extLst xmlns:c16r2="http://schemas.microsoft.com/office/drawing/2015/06/chart">
            <c:ext xmlns:c16="http://schemas.microsoft.com/office/drawing/2014/chart" uri="{C3380CC4-5D6E-409C-BE32-E72D297353CC}">
              <c16:uniqueId val="{00000004-7D9F-407E-BDFE-D8420E68A40A}"/>
            </c:ext>
          </c:extLst>
        </c:ser>
        <c:dLbls>
          <c:showLegendKey val="0"/>
          <c:showVal val="0"/>
          <c:showCatName val="0"/>
          <c:showSerName val="0"/>
          <c:showPercent val="0"/>
          <c:showBubbleSize val="0"/>
          <c:showLeaderLines val="1"/>
        </c:dLbls>
        <c:firstSliceAng val="0"/>
        <c:holeSize val="75"/>
      </c:doughnutChart>
      <c:spPr>
        <a:noFill/>
        <a:ln w="25396">
          <a:noFill/>
        </a:ln>
      </c:spPr>
    </c:plotArea>
    <c:legend>
      <c:legendPos val="b"/>
      <c:legendEntry>
        <c:idx val="1"/>
        <c:delete val="1"/>
      </c:legendEntry>
      <c:layout>
        <c:manualLayout>
          <c:xMode val="edge"/>
          <c:yMode val="edge"/>
          <c:x val="9.4444341516134012E-2"/>
          <c:y val="0.83492750906136726"/>
          <c:w val="0.83333333333333337"/>
          <c:h val="0.139280089988751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26013414989793"/>
          <c:y val="2.4399727811801303E-2"/>
          <c:w val="0.70777602799650041"/>
          <c:h val="0.84259050951964343"/>
        </c:manualLayout>
      </c:layout>
      <c:doughnutChart>
        <c:varyColors val="1"/>
        <c:ser>
          <c:idx val="0"/>
          <c:order val="0"/>
          <c:tx>
            <c:strRef>
              <c:f>Sheet1!$B$1</c:f>
              <c:strCache>
                <c:ptCount val="1"/>
                <c:pt idx="0">
                  <c:v>Column1</c:v>
                </c:pt>
              </c:strCache>
            </c:strRef>
          </c:tx>
          <c:explosion val="4"/>
          <c:dPt>
            <c:idx val="0"/>
            <c:bubble3D val="0"/>
            <c:spPr>
              <a:solidFill>
                <a:srgbClr val="FF0000"/>
              </a:solidFill>
              <a:ln w="19047">
                <a:solidFill>
                  <a:schemeClr val="lt1"/>
                </a:solidFill>
              </a:ln>
              <a:effectLst/>
            </c:spPr>
            <c:extLst xmlns:c16r2="http://schemas.microsoft.com/office/drawing/2015/06/chart">
              <c:ext xmlns:c16="http://schemas.microsoft.com/office/drawing/2014/chart" uri="{C3380CC4-5D6E-409C-BE32-E72D297353CC}">
                <c16:uniqueId val="{00000001-7181-4663-88E8-D20B4191C4A9}"/>
              </c:ext>
            </c:extLst>
          </c:dPt>
          <c:dPt>
            <c:idx val="1"/>
            <c:bubble3D val="0"/>
            <c:spPr>
              <a:solidFill>
                <a:srgbClr val="70AD47">
                  <a:lumMod val="60000"/>
                  <a:lumOff val="40000"/>
                </a:srgbClr>
              </a:solidFill>
              <a:ln w="19047">
                <a:solidFill>
                  <a:schemeClr val="lt1"/>
                </a:solidFill>
              </a:ln>
              <a:effectLst/>
            </c:spPr>
            <c:extLst xmlns:c16r2="http://schemas.microsoft.com/office/drawing/2015/06/chart">
              <c:ext xmlns:c16="http://schemas.microsoft.com/office/drawing/2014/chart" uri="{C3380CC4-5D6E-409C-BE32-E72D297353CC}">
                <c16:uniqueId val="{00000003-7181-4663-88E8-D20B4191C4A9}"/>
              </c:ext>
            </c:extLst>
          </c:dPt>
          <c:dLbls>
            <c:dLbl>
              <c:idx val="0"/>
              <c:layout>
                <c:manualLayout>
                  <c:x val="-6.0007874015748034E-3"/>
                  <c:y val="-0.30855944527204371"/>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81-4663-88E8-D20B4191C4A9}"/>
                </c:ext>
                <c:ext xmlns:c15="http://schemas.microsoft.com/office/drawing/2012/chart" uri="{CE6537A1-D6FC-4f65-9D91-7224C49458BB}">
                  <c15:spPr xmlns:c15="http://schemas.microsoft.com/office/drawing/2012/chart">
                    <a:prstGeom prst="rect">
                      <a:avLst/>
                    </a:prstGeom>
                  </c15:spPr>
                  <c15:layout>
                    <c:manualLayout>
                      <c:w val="0.37738349372995045"/>
                      <c:h val="0.14489489489489485"/>
                    </c:manualLayout>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Sheet1!$A$2:$A$3</c:f>
              <c:strCache>
                <c:ptCount val="2"/>
                <c:pt idx="0">
                  <c:v>populacija 15-24 godine</c:v>
                </c:pt>
                <c:pt idx="1">
                  <c:v>2nd Qtr</c:v>
                </c:pt>
              </c:strCache>
            </c:strRef>
          </c:cat>
          <c:val>
            <c:numRef>
              <c:f>Sheet1!$B$2:$B$3</c:f>
              <c:numCache>
                <c:formatCode>0.0%</c:formatCode>
                <c:ptCount val="2"/>
                <c:pt idx="0">
                  <c:v>0.442</c:v>
                </c:pt>
                <c:pt idx="1">
                  <c:v>0.55800000000000005</c:v>
                </c:pt>
              </c:numCache>
            </c:numRef>
          </c:val>
          <c:extLst xmlns:c16r2="http://schemas.microsoft.com/office/drawing/2015/06/chart">
            <c:ext xmlns:c16="http://schemas.microsoft.com/office/drawing/2014/chart" uri="{C3380CC4-5D6E-409C-BE32-E72D297353CC}">
              <c16:uniqueId val="{00000004-7181-4663-88E8-D20B4191C4A9}"/>
            </c:ext>
          </c:extLst>
        </c:ser>
        <c:dLbls>
          <c:showLegendKey val="0"/>
          <c:showVal val="0"/>
          <c:showCatName val="0"/>
          <c:showSerName val="0"/>
          <c:showPercent val="0"/>
          <c:showBubbleSize val="0"/>
          <c:showLeaderLines val="1"/>
        </c:dLbls>
        <c:firstSliceAng val="0"/>
        <c:holeSize val="75"/>
      </c:doughnutChart>
      <c:spPr>
        <a:noFill/>
        <a:ln w="25396">
          <a:noFill/>
        </a:ln>
      </c:spPr>
    </c:plotArea>
    <c:legend>
      <c:legendPos val="b"/>
      <c:legendEntry>
        <c:idx val="1"/>
        <c:delete val="1"/>
      </c:legendEntry>
      <c:layout>
        <c:manualLayout>
          <c:xMode val="edge"/>
          <c:yMode val="edge"/>
          <c:x val="0"/>
          <c:y val="0.83099550056242966"/>
          <c:w val="1"/>
          <c:h val="0.165734908136482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48621783722817"/>
          <c:y val="3.3751862098318798E-2"/>
          <c:w val="0.70777602799650041"/>
          <c:h val="0.84259050951964343"/>
        </c:manualLayout>
      </c:layout>
      <c:doughnutChart>
        <c:varyColors val="1"/>
        <c:ser>
          <c:idx val="0"/>
          <c:order val="0"/>
          <c:tx>
            <c:strRef>
              <c:f>Sheet1!$B$1</c:f>
              <c:strCache>
                <c:ptCount val="1"/>
                <c:pt idx="0">
                  <c:v>Column1</c:v>
                </c:pt>
              </c:strCache>
            </c:strRef>
          </c:tx>
          <c:explosion val="4"/>
          <c:dPt>
            <c:idx val="0"/>
            <c:bubble3D val="0"/>
            <c:spPr>
              <a:solidFill>
                <a:srgbClr val="FF0000"/>
              </a:solidFill>
              <a:ln w="19047">
                <a:solidFill>
                  <a:schemeClr val="lt1"/>
                </a:solidFill>
              </a:ln>
              <a:effectLst/>
            </c:spPr>
            <c:extLst xmlns:c16r2="http://schemas.microsoft.com/office/drawing/2015/06/chart">
              <c:ext xmlns:c16="http://schemas.microsoft.com/office/drawing/2014/chart" uri="{C3380CC4-5D6E-409C-BE32-E72D297353CC}">
                <c16:uniqueId val="{00000001-B7C7-42A2-9CCC-C12439551345}"/>
              </c:ext>
            </c:extLst>
          </c:dPt>
          <c:dPt>
            <c:idx val="1"/>
            <c:bubble3D val="0"/>
            <c:spPr>
              <a:solidFill>
                <a:srgbClr val="70AD47">
                  <a:lumMod val="60000"/>
                  <a:lumOff val="40000"/>
                </a:srgbClr>
              </a:solidFill>
              <a:ln w="19047">
                <a:solidFill>
                  <a:schemeClr val="lt1"/>
                </a:solidFill>
              </a:ln>
              <a:effectLst/>
            </c:spPr>
            <c:extLst xmlns:c16r2="http://schemas.microsoft.com/office/drawing/2015/06/chart">
              <c:ext xmlns:c16="http://schemas.microsoft.com/office/drawing/2014/chart" uri="{C3380CC4-5D6E-409C-BE32-E72D297353CC}">
                <c16:uniqueId val="{00000003-B7C7-42A2-9CCC-C12439551345}"/>
              </c:ext>
            </c:extLst>
          </c:dPt>
          <c:dLbls>
            <c:dLbl>
              <c:idx val="0"/>
              <c:layout>
                <c:manualLayout>
                  <c:x val="5.9259083578408124E-2"/>
                  <c:y val="-0.12011952897779669"/>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7C7-42A2-9CCC-C12439551345}"/>
                </c:ext>
                <c:ext xmlns:c15="http://schemas.microsoft.com/office/drawing/2012/chart" uri="{CE6537A1-D6FC-4f65-9D91-7224C49458BB}">
                  <c15:spPr xmlns:c15="http://schemas.microsoft.com/office/drawing/2012/chart">
                    <a:prstGeom prst="rect">
                      <a:avLst/>
                    </a:prstGeom>
                  </c15:spPr>
                  <c15:layout>
                    <c:manualLayout>
                      <c:w val="0.33522251385243507"/>
                      <c:h val="0.15240240240240241"/>
                    </c:manualLayout>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Sheet1!$A$2:$A$3</c:f>
              <c:strCache>
                <c:ptCount val="2"/>
                <c:pt idx="0">
                  <c:v>populacija 25-34 godine</c:v>
                </c:pt>
                <c:pt idx="1">
                  <c:v>2nd Qtr</c:v>
                </c:pt>
              </c:strCache>
            </c:strRef>
          </c:cat>
          <c:val>
            <c:numRef>
              <c:f>Sheet1!$B$2:$B$3</c:f>
              <c:numCache>
                <c:formatCode>0.0%</c:formatCode>
                <c:ptCount val="2"/>
                <c:pt idx="0">
                  <c:v>0.249</c:v>
                </c:pt>
                <c:pt idx="1">
                  <c:v>0.751</c:v>
                </c:pt>
              </c:numCache>
            </c:numRef>
          </c:val>
          <c:extLst xmlns:c16r2="http://schemas.microsoft.com/office/drawing/2015/06/chart">
            <c:ext xmlns:c16="http://schemas.microsoft.com/office/drawing/2014/chart" uri="{C3380CC4-5D6E-409C-BE32-E72D297353CC}">
              <c16:uniqueId val="{00000004-B7C7-42A2-9CCC-C12439551345}"/>
            </c:ext>
          </c:extLst>
        </c:ser>
        <c:dLbls>
          <c:showLegendKey val="0"/>
          <c:showVal val="0"/>
          <c:showCatName val="0"/>
          <c:showSerName val="0"/>
          <c:showPercent val="0"/>
          <c:showBubbleSize val="0"/>
          <c:showLeaderLines val="1"/>
        </c:dLbls>
        <c:firstSliceAng val="0"/>
        <c:holeSize val="75"/>
      </c:doughnutChart>
      <c:spPr>
        <a:noFill/>
        <a:ln w="25396">
          <a:noFill/>
        </a:ln>
      </c:spPr>
    </c:plotArea>
    <c:legend>
      <c:legendPos val="b"/>
      <c:legendEntry>
        <c:idx val="1"/>
        <c:delete val="1"/>
      </c:legendEntry>
      <c:layout>
        <c:manualLayout>
          <c:xMode val="edge"/>
          <c:yMode val="edge"/>
          <c:x val="0.10185209201790953"/>
          <c:y val="0.83492750906136726"/>
          <c:w val="0.83333333333333337"/>
          <c:h val="0.161802899637545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9686332484072"/>
          <c:y val="4.8859934853420196E-2"/>
          <c:w val="0.70061947150081594"/>
          <c:h val="0.85479218943785873"/>
        </c:manualLayout>
      </c:layout>
      <c:barChart>
        <c:barDir val="bar"/>
        <c:grouping val="clustered"/>
        <c:varyColors val="0"/>
        <c:ser>
          <c:idx val="0"/>
          <c:order val="0"/>
          <c:tx>
            <c:strRef>
              <c:f>Sheet1!$B$1</c:f>
              <c:strCache>
                <c:ptCount val="1"/>
                <c:pt idx="0">
                  <c:v>Procenat nezaposlenih</c:v>
                </c:pt>
              </c:strCache>
            </c:strRef>
          </c:tx>
          <c:spPr>
            <a:solidFill>
              <a:srgbClr val="70AD47">
                <a:lumMod val="60000"/>
                <a:lumOff val="40000"/>
              </a:srgbClr>
            </a:solidFill>
            <a:ln>
              <a:noFill/>
            </a:ln>
            <a:effectLst/>
          </c:spPr>
          <c:invertIfNegative val="0"/>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FA88-4587-80C8-B7CDCAD45596}"/>
              </c:ext>
            </c:extLst>
          </c:dPt>
          <c:dPt>
            <c:idx val="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FA88-4587-80C8-B7CDCAD45596}"/>
              </c:ext>
            </c:extLst>
          </c:dPt>
          <c:dPt>
            <c:idx val="4"/>
            <c:invertIfNegative val="0"/>
            <c:bubble3D val="0"/>
            <c:extLst xmlns:c16r2="http://schemas.microsoft.com/office/drawing/2015/06/chart">
              <c:ext xmlns:c16="http://schemas.microsoft.com/office/drawing/2014/chart" uri="{C3380CC4-5D6E-409C-BE32-E72D297353CC}">
                <c16:uniqueId val="{00000004-FA88-4587-80C8-B7CDCAD45596}"/>
              </c:ext>
            </c:extLst>
          </c:dPt>
          <c:dLbls>
            <c:dLbl>
              <c:idx val="0"/>
              <c:layout>
                <c:manualLayout>
                  <c:x val="-0.57922769640479366"/>
                  <c:y val="9.9528347163674208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A88-4587-80C8-B7CDCAD45596}"/>
                </c:ext>
                <c:ext xmlns:c15="http://schemas.microsoft.com/office/drawing/2012/chart" uri="{CE6537A1-D6FC-4f65-9D91-7224C49458BB}"/>
              </c:extLst>
            </c:dLbl>
            <c:dLbl>
              <c:idx val="1"/>
              <c:layout>
                <c:manualLayout>
                  <c:x val="-0.4482911673324456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A88-4587-80C8-B7CDCAD45596}"/>
                </c:ext>
                <c:ext xmlns:c15="http://schemas.microsoft.com/office/drawing/2012/chart" uri="{CE6537A1-D6FC-4f65-9D91-7224C49458BB}"/>
              </c:extLst>
            </c:dLbl>
            <c:dLbl>
              <c:idx val="2"/>
              <c:layout>
                <c:manualLayout>
                  <c:x val="-0.30847758544163334"/>
                  <c:y val="6.858772132310822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A88-4587-80C8-B7CDCAD45596}"/>
                </c:ext>
                <c:ext xmlns:c15="http://schemas.microsoft.com/office/drawing/2012/chart" uri="{CE6537A1-D6FC-4f65-9D91-7224C49458BB}"/>
              </c:extLst>
            </c:dLbl>
            <c:dLbl>
              <c:idx val="3"/>
              <c:layout>
                <c:manualLayout>
                  <c:x val="-0.18863737239236578"/>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A88-4587-80C8-B7CDCAD45596}"/>
                </c:ext>
                <c:ext xmlns:c15="http://schemas.microsoft.com/office/drawing/2012/chart" uri="{CE6537A1-D6FC-4f65-9D91-7224C49458BB}"/>
              </c:extLst>
            </c:dLbl>
            <c:dLbl>
              <c:idx val="4"/>
              <c:layout>
                <c:manualLayout>
                  <c:x val="-0.17088326675543719"/>
                  <c:y val="1.429890481930800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A88-4587-80C8-B7CDCAD4559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od 15 do 19 godina</c:v>
                </c:pt>
                <c:pt idx="1">
                  <c:v>od 20 do 24 godine</c:v>
                </c:pt>
                <c:pt idx="2">
                  <c:v>od 25 do 30 godina</c:v>
                </c:pt>
                <c:pt idx="3">
                  <c:v>od 30 do 34 godine </c:v>
                </c:pt>
                <c:pt idx="4">
                  <c:v>ukupno u Srbiji</c:v>
                </c:pt>
              </c:strCache>
            </c:strRef>
          </c:cat>
          <c:val>
            <c:numRef>
              <c:f>Sheet1!$B$2:$B$6</c:f>
              <c:numCache>
                <c:formatCode>0.0%</c:formatCode>
                <c:ptCount val="5"/>
                <c:pt idx="0">
                  <c:v>0.53400000000000003</c:v>
                </c:pt>
                <c:pt idx="1">
                  <c:v>0.42399999999999999</c:v>
                </c:pt>
                <c:pt idx="2">
                  <c:v>0.30299999999999999</c:v>
                </c:pt>
                <c:pt idx="3">
                  <c:v>0.20399999999999999</c:v>
                </c:pt>
                <c:pt idx="4" formatCode="0%">
                  <c:v>0.19</c:v>
                </c:pt>
              </c:numCache>
            </c:numRef>
          </c:val>
          <c:extLst xmlns:c16r2="http://schemas.microsoft.com/office/drawing/2015/06/chart">
            <c:ext xmlns:c16="http://schemas.microsoft.com/office/drawing/2014/chart" uri="{C3380CC4-5D6E-409C-BE32-E72D297353CC}">
              <c16:uniqueId val="{00000007-FA88-4587-80C8-B7CDCAD45596}"/>
            </c:ext>
          </c:extLst>
        </c:ser>
        <c:dLbls>
          <c:showLegendKey val="0"/>
          <c:showVal val="0"/>
          <c:showCatName val="0"/>
          <c:showSerName val="0"/>
          <c:showPercent val="0"/>
          <c:showBubbleSize val="0"/>
        </c:dLbls>
        <c:gapWidth val="32"/>
        <c:overlap val="-9"/>
        <c:axId val="-1040479568"/>
        <c:axId val="-1040483376"/>
      </c:barChart>
      <c:catAx>
        <c:axId val="-1040479568"/>
        <c:scaling>
          <c:orientation val="minMax"/>
        </c:scaling>
        <c:delete val="0"/>
        <c:axPos val="l"/>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40483376"/>
        <c:crosses val="autoZero"/>
        <c:auto val="1"/>
        <c:lblAlgn val="ctr"/>
        <c:lblOffset val="100"/>
        <c:noMultiLvlLbl val="0"/>
      </c:catAx>
      <c:valAx>
        <c:axId val="-1040483376"/>
        <c:scaling>
          <c:orientation val="minMax"/>
        </c:scaling>
        <c:delete val="1"/>
        <c:axPos val="b"/>
        <c:majorGridlines>
          <c:spPr>
            <a:ln w="9522" cap="flat" cmpd="sng" algn="ctr">
              <a:solidFill>
                <a:schemeClr val="tx1">
                  <a:lumMod val="15000"/>
                  <a:lumOff val="85000"/>
                </a:schemeClr>
              </a:solidFill>
              <a:round/>
            </a:ln>
            <a:effectLst/>
          </c:spPr>
        </c:majorGridlines>
        <c:numFmt formatCode="0.0%" sourceLinked="1"/>
        <c:majorTickMark val="out"/>
        <c:minorTickMark val="none"/>
        <c:tickLblPos val="nextTo"/>
        <c:crossAx val="-1040479568"/>
        <c:crosses val="autoZero"/>
        <c:crossBetween val="between"/>
      </c:valAx>
      <c:spPr>
        <a:noFill/>
        <a:ln w="25391">
          <a:noFill/>
        </a:ln>
      </c:spPr>
    </c:plotArea>
    <c:plotVisOnly val="1"/>
    <c:dispBlanksAs val="gap"/>
    <c:showDLblsOverMax val="0"/>
  </c:chart>
  <c:spPr>
    <a:solidFill>
      <a:schemeClr val="bg1"/>
    </a:solid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325374541360622"/>
          <c:y val="4.3650793650793648E-2"/>
          <c:w val="0.61128320684720616"/>
          <c:h val="0.94097175353080864"/>
        </c:manualLayout>
      </c:layout>
      <c:barChart>
        <c:barDir val="bar"/>
        <c:grouping val="clustered"/>
        <c:varyColors val="0"/>
        <c:ser>
          <c:idx val="0"/>
          <c:order val="0"/>
          <c:tx>
            <c:strRef>
              <c:f>Sheet1!$B$1</c:f>
              <c:strCache>
                <c:ptCount val="1"/>
                <c:pt idx="0">
                  <c:v>Rang I mesto</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Sopstveni biznis/preduzetništvo</c:v>
                </c:pt>
                <c:pt idx="1">
                  <c:v>Korporativni sektor</c:v>
                </c:pt>
                <c:pt idx="2">
                  <c:v>Akademski i naučni rad</c:v>
                </c:pt>
                <c:pt idx="3">
                  <c:v>Državna uprava</c:v>
                </c:pt>
                <c:pt idx="4">
                  <c:v>Institucije i javna preduzeća</c:v>
                </c:pt>
                <c:pt idx="5">
                  <c:v>Organizacije civilnog društva</c:v>
                </c:pt>
                <c:pt idx="6">
                  <c:v>Lokalna samouprava</c:v>
                </c:pt>
              </c:strCache>
            </c:strRef>
          </c:cat>
          <c:val>
            <c:numRef>
              <c:f>Sheet1!$B$2:$B$8</c:f>
              <c:numCache>
                <c:formatCode>0.0%</c:formatCode>
                <c:ptCount val="7"/>
                <c:pt idx="0">
                  <c:v>0.55500000000000005</c:v>
                </c:pt>
                <c:pt idx="1">
                  <c:v>0.23300000000000001</c:v>
                </c:pt>
                <c:pt idx="2">
                  <c:v>8.2000000000000003E-2</c:v>
                </c:pt>
                <c:pt idx="3">
                  <c:v>3.4000000000000002E-2</c:v>
                </c:pt>
                <c:pt idx="4">
                  <c:v>2.1000000000000001E-2</c:v>
                </c:pt>
                <c:pt idx="5">
                  <c:v>2.1000000000000001E-2</c:v>
                </c:pt>
                <c:pt idx="6">
                  <c:v>7.0000000000000001E-3</c:v>
                </c:pt>
              </c:numCache>
            </c:numRef>
          </c:val>
          <c:extLst xmlns:c16r2="http://schemas.microsoft.com/office/drawing/2015/06/chart">
            <c:ext xmlns:c16="http://schemas.microsoft.com/office/drawing/2014/chart" uri="{C3380CC4-5D6E-409C-BE32-E72D297353CC}">
              <c16:uniqueId val="{00000000-8BB0-4BA7-A910-147B25B92590}"/>
            </c:ext>
          </c:extLst>
        </c:ser>
        <c:ser>
          <c:idx val="1"/>
          <c:order val="1"/>
          <c:tx>
            <c:strRef>
              <c:f>Sheet1!$C$1</c:f>
              <c:strCache>
                <c:ptCount val="1"/>
                <c:pt idx="0">
                  <c:v>Rang II mesto</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Sopstveni biznis/preduzetništvo</c:v>
                </c:pt>
                <c:pt idx="1">
                  <c:v>Korporativni sektor</c:v>
                </c:pt>
                <c:pt idx="2">
                  <c:v>Akademski i naučni rad</c:v>
                </c:pt>
                <c:pt idx="3">
                  <c:v>Državna uprava</c:v>
                </c:pt>
                <c:pt idx="4">
                  <c:v>Institucije i javna preduzeća</c:v>
                </c:pt>
                <c:pt idx="5">
                  <c:v>Organizacije civilnog društva</c:v>
                </c:pt>
                <c:pt idx="6">
                  <c:v>Lokalna samouprava</c:v>
                </c:pt>
              </c:strCache>
            </c:strRef>
          </c:cat>
          <c:val>
            <c:numRef>
              <c:f>Sheet1!$C$2:$C$8</c:f>
              <c:numCache>
                <c:formatCode>0.0%</c:formatCode>
                <c:ptCount val="7"/>
                <c:pt idx="0">
                  <c:v>0.28699999999999998</c:v>
                </c:pt>
                <c:pt idx="1">
                  <c:v>0.34899999999999998</c:v>
                </c:pt>
                <c:pt idx="2">
                  <c:v>0.14399999999999999</c:v>
                </c:pt>
                <c:pt idx="3">
                  <c:v>2.7E-2</c:v>
                </c:pt>
                <c:pt idx="4">
                  <c:v>0.11600000000000001</c:v>
                </c:pt>
                <c:pt idx="5">
                  <c:v>4.7E-2</c:v>
                </c:pt>
                <c:pt idx="6">
                  <c:v>2.1000000000000001E-2</c:v>
                </c:pt>
              </c:numCache>
            </c:numRef>
          </c:val>
          <c:extLst xmlns:c16r2="http://schemas.microsoft.com/office/drawing/2015/06/chart">
            <c:ext xmlns:c16="http://schemas.microsoft.com/office/drawing/2014/chart" uri="{C3380CC4-5D6E-409C-BE32-E72D297353CC}">
              <c16:uniqueId val="{00000001-8BB0-4BA7-A910-147B25B92590}"/>
            </c:ext>
          </c:extLst>
        </c:ser>
        <c:dLbls>
          <c:showLegendKey val="0"/>
          <c:showVal val="0"/>
          <c:showCatName val="0"/>
          <c:showSerName val="0"/>
          <c:showPercent val="0"/>
          <c:showBubbleSize val="0"/>
        </c:dLbls>
        <c:gapWidth val="60"/>
        <c:axId val="-970729136"/>
        <c:axId val="-970726416"/>
      </c:barChart>
      <c:catAx>
        <c:axId val="-97072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0726416"/>
        <c:crosses val="autoZero"/>
        <c:auto val="1"/>
        <c:lblAlgn val="ctr"/>
        <c:lblOffset val="100"/>
        <c:noMultiLvlLbl val="0"/>
      </c:catAx>
      <c:valAx>
        <c:axId val="-97072641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970729136"/>
        <c:crosses val="autoZero"/>
        <c:crossBetween val="between"/>
      </c:valAx>
      <c:spPr>
        <a:noFill/>
        <a:ln>
          <a:noFill/>
        </a:ln>
        <a:effectLst/>
      </c:spPr>
    </c:plotArea>
    <c:legend>
      <c:legendPos val="b"/>
      <c:layout>
        <c:manualLayout>
          <c:xMode val="edge"/>
          <c:yMode val="edge"/>
          <c:x val="0.79359689413823276"/>
          <c:y val="0.35367016622922143"/>
          <c:w val="0.17660834062408864"/>
          <c:h val="0.2018466441694788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mladen velojic</cp:lastModifiedBy>
  <cp:revision>2</cp:revision>
  <dcterms:created xsi:type="dcterms:W3CDTF">2016-08-08T10:41:00Z</dcterms:created>
  <dcterms:modified xsi:type="dcterms:W3CDTF">2016-08-08T10:41:00Z</dcterms:modified>
</cp:coreProperties>
</file>